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0"/>
      </w:tblGrid>
      <w:tr w:rsidR="007C6B89">
        <w:tc>
          <w:tcPr>
            <w:tcW w:w="9060" w:type="dxa"/>
            <w:gridSpan w:val="2"/>
            <w:vAlign w:val="center"/>
          </w:tcPr>
          <w:p w:rsidR="007C6B89" w:rsidRDefault="00BC1383">
            <w:pPr>
              <w:pStyle w:val="a9"/>
            </w:pPr>
            <w:bookmarkStart w:id="0" w:name="_Hlk135823657"/>
            <w:r>
              <w:t>齐鲁工业大学（山东省科学院）</w:t>
            </w:r>
          </w:p>
        </w:tc>
      </w:tr>
      <w:tr w:rsidR="007C6B89">
        <w:trPr>
          <w:trHeight w:val="344"/>
        </w:trPr>
        <w:tc>
          <w:tcPr>
            <w:tcW w:w="9060" w:type="dxa"/>
            <w:gridSpan w:val="2"/>
            <w:vAlign w:val="center"/>
          </w:tcPr>
          <w:p w:rsidR="007C6B89" w:rsidRDefault="00BC1383">
            <w:pPr>
              <w:pStyle w:val="a9"/>
            </w:pPr>
            <w:r>
              <w:rPr>
                <w:rFonts w:hint="eastAsia"/>
              </w:rPr>
              <w:t>学术</w:t>
            </w:r>
            <w:r>
              <w:t>学位硕士研究生培养方案</w:t>
            </w:r>
          </w:p>
        </w:tc>
      </w:tr>
      <w:tr w:rsidR="007C6B89">
        <w:tc>
          <w:tcPr>
            <w:tcW w:w="4820" w:type="dxa"/>
            <w:vAlign w:val="center"/>
          </w:tcPr>
          <w:p w:rsidR="007C6B89" w:rsidRDefault="00BC1383">
            <w:pPr>
              <w:ind w:firstLineChars="0" w:firstLine="0"/>
              <w:jc w:val="right"/>
              <w:rPr>
                <w:rFonts w:eastAsia="黑体"/>
              </w:rPr>
            </w:pPr>
            <w:r>
              <w:rPr>
                <w:rFonts w:eastAsia="黑体" w:hint="eastAsia"/>
                <w:b/>
                <w:bCs/>
              </w:rPr>
              <w:t>一级学科代码及名称：</w:t>
            </w:r>
          </w:p>
        </w:tc>
        <w:tc>
          <w:tcPr>
            <w:tcW w:w="4240" w:type="dxa"/>
            <w:vAlign w:val="center"/>
          </w:tcPr>
          <w:p w:rsidR="007C6B89" w:rsidRDefault="00BC1383">
            <w:pPr>
              <w:ind w:firstLineChars="0" w:firstLine="0"/>
              <w:rPr>
                <w:rFonts w:eastAsia="黑体"/>
                <w:b/>
                <w:bCs/>
              </w:rPr>
            </w:pPr>
            <w:r>
              <w:rPr>
                <w:rFonts w:eastAsia="黑体" w:hint="eastAsia"/>
                <w:b/>
                <w:bCs/>
              </w:rPr>
              <w:t>08</w:t>
            </w:r>
            <w:r>
              <w:rPr>
                <w:rFonts w:eastAsia="黑体"/>
                <w:b/>
                <w:bCs/>
              </w:rPr>
              <w:t>2</w:t>
            </w:r>
            <w:r>
              <w:rPr>
                <w:rFonts w:eastAsia="黑体" w:hint="eastAsia"/>
                <w:b/>
                <w:bCs/>
              </w:rPr>
              <w:t>2</w:t>
            </w:r>
            <w:r>
              <w:rPr>
                <w:rFonts w:eastAsia="黑体" w:hint="eastAsia"/>
                <w:b/>
                <w:bCs/>
              </w:rPr>
              <w:t>轻工技术与工程</w:t>
            </w:r>
          </w:p>
        </w:tc>
      </w:tr>
      <w:tr w:rsidR="007C6B89">
        <w:tc>
          <w:tcPr>
            <w:tcW w:w="4820" w:type="dxa"/>
          </w:tcPr>
          <w:p w:rsidR="007C6B89" w:rsidRDefault="007C6B89">
            <w:pPr>
              <w:ind w:firstLineChars="0" w:firstLine="0"/>
              <w:jc w:val="right"/>
              <w:rPr>
                <w:rFonts w:eastAsia="黑体"/>
              </w:rPr>
            </w:pPr>
          </w:p>
        </w:tc>
        <w:tc>
          <w:tcPr>
            <w:tcW w:w="4240" w:type="dxa"/>
          </w:tcPr>
          <w:p w:rsidR="007C6B89" w:rsidRDefault="007C6B89">
            <w:pPr>
              <w:ind w:firstLineChars="0" w:firstLine="0"/>
              <w:rPr>
                <w:rFonts w:eastAsia="黑体"/>
              </w:rPr>
            </w:pPr>
          </w:p>
        </w:tc>
      </w:tr>
    </w:tbl>
    <w:bookmarkEnd w:id="0"/>
    <w:p w:rsidR="007C6B89" w:rsidRDefault="00BC1383">
      <w:pPr>
        <w:pStyle w:val="1"/>
      </w:pPr>
      <w:r>
        <w:rPr>
          <w:rFonts w:hint="eastAsia"/>
        </w:rPr>
        <w:t>一、学科简介</w:t>
      </w:r>
    </w:p>
    <w:p w:rsidR="007C6B89" w:rsidRDefault="00BC1383">
      <w:r>
        <w:rPr>
          <w:rFonts w:hint="eastAsia"/>
        </w:rPr>
        <w:t>齐鲁工业大学（山东省科学院）是山东省最早设置轻工技术与工程学科的院校，</w:t>
      </w:r>
      <w:r>
        <w:rPr>
          <w:rFonts w:hint="eastAsia"/>
        </w:rPr>
        <w:t>1978</w:t>
      </w:r>
      <w:r>
        <w:rPr>
          <w:rFonts w:hint="eastAsia"/>
        </w:rPr>
        <w:t>年制浆造纸工程专业招收本科生，</w:t>
      </w:r>
      <w:r>
        <w:rPr>
          <w:rFonts w:hint="eastAsia"/>
        </w:rPr>
        <w:t>1998</w:t>
      </w:r>
      <w:r>
        <w:rPr>
          <w:rFonts w:hint="eastAsia"/>
        </w:rPr>
        <w:t>年制浆造纸工程专业获硕士学位授予权，</w:t>
      </w:r>
      <w:r>
        <w:rPr>
          <w:rFonts w:hint="eastAsia"/>
        </w:rPr>
        <w:t>2000</w:t>
      </w:r>
      <w:r>
        <w:rPr>
          <w:rFonts w:hint="eastAsia"/>
        </w:rPr>
        <w:t>年皮革化学与工程获硕士学位授予权，</w:t>
      </w:r>
      <w:r>
        <w:rPr>
          <w:rFonts w:hint="eastAsia"/>
        </w:rPr>
        <w:t>2006</w:t>
      </w:r>
      <w:r>
        <w:rPr>
          <w:rFonts w:hint="eastAsia"/>
        </w:rPr>
        <w:t>年轻工技术与工程</w:t>
      </w:r>
      <w:proofErr w:type="gramStart"/>
      <w:r>
        <w:rPr>
          <w:rFonts w:hint="eastAsia"/>
        </w:rPr>
        <w:t>学科获</w:t>
      </w:r>
      <w:proofErr w:type="gramEnd"/>
      <w:r>
        <w:rPr>
          <w:rFonts w:hint="eastAsia"/>
        </w:rPr>
        <w:t>批一级学科硕士点，</w:t>
      </w:r>
      <w:r>
        <w:rPr>
          <w:rFonts w:hint="eastAsia"/>
        </w:rPr>
        <w:t>2012</w:t>
      </w:r>
      <w:r>
        <w:rPr>
          <w:rFonts w:hint="eastAsia"/>
        </w:rPr>
        <w:t>年自设印刷与包装工程二级学科硕士点。</w:t>
      </w:r>
    </w:p>
    <w:p w:rsidR="007C6B89" w:rsidRDefault="00BC1383">
      <w:r>
        <w:rPr>
          <w:rFonts w:hint="eastAsia"/>
        </w:rPr>
        <w:t>学科依托生物</w:t>
      </w:r>
      <w:proofErr w:type="gramStart"/>
      <w:r>
        <w:rPr>
          <w:rFonts w:hint="eastAsia"/>
        </w:rPr>
        <w:t>基材料</w:t>
      </w:r>
      <w:proofErr w:type="gramEnd"/>
      <w:r>
        <w:rPr>
          <w:rFonts w:hint="eastAsia"/>
        </w:rPr>
        <w:t>与绿色造纸省部共建国家重点实验室、生物</w:t>
      </w:r>
      <w:proofErr w:type="gramStart"/>
      <w:r>
        <w:rPr>
          <w:rFonts w:hint="eastAsia"/>
        </w:rPr>
        <w:t>基产品</w:t>
      </w:r>
      <w:proofErr w:type="gramEnd"/>
      <w:r>
        <w:rPr>
          <w:rFonts w:hint="eastAsia"/>
        </w:rPr>
        <w:t>绿色技术教育部协同创新中心、制浆造纸科学与技术教育部重点实验室等</w:t>
      </w:r>
      <w:r>
        <w:rPr>
          <w:rFonts w:hint="eastAsia"/>
        </w:rPr>
        <w:t>10</w:t>
      </w:r>
      <w:r>
        <w:rPr>
          <w:rFonts w:hint="eastAsia"/>
        </w:rPr>
        <w:t>余个高层次科研创新平台，在制浆造纸工程、生物质化学与工程、皮革化学与工程、印刷与包装工程等方面特色显著，形成了一支结构合理、富有创新精神的教学科研队伍，并拥有一批国家级、省部级领军人才，例如国家“万人计划”、国家“百千万人才工程”、国务院特贴专家、国家有突出贡献中青年专家、山东省教学名师、山东省教书育人楷模、山东省泰山学者特聘教授、泰山学者青年专家、山东省有突出贡献中青年专家等高层次人才。</w:t>
      </w:r>
    </w:p>
    <w:p w:rsidR="007C6B89" w:rsidRDefault="00BC1383">
      <w:pPr>
        <w:pStyle w:val="1"/>
      </w:pPr>
      <w:r>
        <w:rPr>
          <w:rFonts w:hint="eastAsia"/>
        </w:rPr>
        <w:t>二、培养目标</w:t>
      </w:r>
    </w:p>
    <w:p w:rsidR="007C6B89" w:rsidRDefault="00BC1383">
      <w:r>
        <w:rPr>
          <w:rFonts w:hint="eastAsia"/>
        </w:rPr>
        <w:t>培养具有全面、扎实的专业知识和规范的学术训练，有严谨求学的科学态度及团队协作精神，为社会主义现代化建设服务，德、智、体、美、</w:t>
      </w:r>
      <w:proofErr w:type="gramStart"/>
      <w:r>
        <w:rPr>
          <w:rFonts w:hint="eastAsia"/>
        </w:rPr>
        <w:t>劳</w:t>
      </w:r>
      <w:proofErr w:type="gramEnd"/>
      <w:r>
        <w:rPr>
          <w:rFonts w:hint="eastAsia"/>
        </w:rPr>
        <w:t>全</w:t>
      </w:r>
      <w:r>
        <w:rPr>
          <w:rFonts w:hint="eastAsia"/>
        </w:rPr>
        <w:lastRenderedPageBreak/>
        <w:t>面发展的轻工领域高层次专门人才。具体要求如下：</w:t>
      </w:r>
    </w:p>
    <w:p w:rsidR="007C6B89" w:rsidRDefault="00BC1383">
      <w:r>
        <w:rPr>
          <w:rFonts w:hint="eastAsia"/>
        </w:rPr>
        <w:t>1.</w:t>
      </w:r>
      <w:r>
        <w:t xml:space="preserve"> </w:t>
      </w:r>
      <w:r>
        <w:rPr>
          <w:rFonts w:hint="eastAsia"/>
        </w:rPr>
        <w:t>有较宽广的本学科及相关学科理论知识，掌握与本学科技术领域相关的现代分析测试技术，熟练掌握一门外国语言。</w:t>
      </w:r>
    </w:p>
    <w:p w:rsidR="007C6B89" w:rsidRDefault="00BC1383">
      <w:r>
        <w:rPr>
          <w:rFonts w:hint="eastAsia"/>
        </w:rPr>
        <w:t>2.</w:t>
      </w:r>
      <w:r>
        <w:t xml:space="preserve"> </w:t>
      </w:r>
      <w:r>
        <w:rPr>
          <w:rFonts w:hint="eastAsia"/>
        </w:rPr>
        <w:t>系统掌握所在研究方向的基础理论、专业知识和实验技能，了解本学科主要研究方法的特点及技术原理，并能够合理利用。</w:t>
      </w:r>
    </w:p>
    <w:p w:rsidR="007C6B89" w:rsidRDefault="00BC1383">
      <w:r>
        <w:rPr>
          <w:rFonts w:hint="eastAsia"/>
        </w:rPr>
        <w:t>3.</w:t>
      </w:r>
      <w:r>
        <w:t xml:space="preserve"> </w:t>
      </w:r>
      <w:r>
        <w:rPr>
          <w:rFonts w:hint="eastAsia"/>
        </w:rPr>
        <w:t>较为全面地了解国内外本学科的研究现状和发展趋势，全面和较深入地掌握本学科、本领域的研究成果。</w:t>
      </w:r>
    </w:p>
    <w:p w:rsidR="007C6B89" w:rsidRDefault="00BC1383">
      <w:r>
        <w:rPr>
          <w:rFonts w:hint="eastAsia"/>
        </w:rPr>
        <w:t>4.</w:t>
      </w:r>
      <w:r>
        <w:t xml:space="preserve"> </w:t>
      </w:r>
      <w:r>
        <w:rPr>
          <w:rFonts w:hint="eastAsia"/>
        </w:rPr>
        <w:t>熟悉所在行业工程技术原理，能创造性地从事工程实践工作。</w:t>
      </w:r>
    </w:p>
    <w:p w:rsidR="007C6B89" w:rsidRDefault="00BC1383">
      <w:pPr>
        <w:pStyle w:val="1"/>
      </w:pPr>
      <w:r>
        <w:rPr>
          <w:rFonts w:hint="eastAsia"/>
        </w:rPr>
        <w:t>三、基本要求</w:t>
      </w:r>
    </w:p>
    <w:p w:rsidR="007C6B89" w:rsidRDefault="00BC1383">
      <w:pPr>
        <w:pStyle w:val="2"/>
      </w:pPr>
      <w:r>
        <w:rPr>
          <w:rFonts w:hint="eastAsia"/>
        </w:rPr>
        <w:t>1.</w:t>
      </w:r>
      <w:r>
        <w:t xml:space="preserve"> </w:t>
      </w:r>
      <w:r>
        <w:rPr>
          <w:rFonts w:hint="eastAsia"/>
        </w:rPr>
        <w:t>品德素质要求</w:t>
      </w:r>
    </w:p>
    <w:p w:rsidR="007C6B89" w:rsidRDefault="00BC1383">
      <w:r>
        <w:rPr>
          <w:rFonts w:hint="eastAsia"/>
        </w:rPr>
        <w:t>拥护中国共产党的领导，热爱祖国，遵纪守法，具有高度的社会责任感；掌握辩证唯物主义和历史唯物主义的基本原理，树立科学的世界观与方法论，具有良好的敬业精神和科学道德，品行优良，身心健康。</w:t>
      </w:r>
    </w:p>
    <w:p w:rsidR="007C6B89" w:rsidRDefault="00BC1383">
      <w:pPr>
        <w:pStyle w:val="2"/>
      </w:pPr>
      <w:r>
        <w:rPr>
          <w:rFonts w:hint="eastAsia"/>
        </w:rPr>
        <w:t>2.</w:t>
      </w:r>
      <w:r>
        <w:t xml:space="preserve"> </w:t>
      </w:r>
      <w:r>
        <w:rPr>
          <w:rFonts w:hint="eastAsia"/>
        </w:rPr>
        <w:t>知识结构要求</w:t>
      </w:r>
    </w:p>
    <w:p w:rsidR="007C6B89" w:rsidRDefault="00BC1383">
      <w:r>
        <w:rPr>
          <w:rFonts w:hint="eastAsia"/>
        </w:rPr>
        <w:t>掌握化学、化学工程、生物技术等相关学科基础理论知识；能系统掌握与研究方向相关的专业基础理论；熟练掌握研究方向涉及的分析检测技术；系统掌握所在学科方向的专业知识，熟悉并能够合理运用本学科主要研究方法及技术原理；具有较强的从事科学研究工作的能力。</w:t>
      </w:r>
    </w:p>
    <w:p w:rsidR="007C6B89" w:rsidRDefault="00BC1383">
      <w:pPr>
        <w:pStyle w:val="2"/>
      </w:pPr>
      <w:r>
        <w:rPr>
          <w:rFonts w:hint="eastAsia"/>
        </w:rPr>
        <w:t>3.</w:t>
      </w:r>
      <w:r>
        <w:t xml:space="preserve"> </w:t>
      </w:r>
      <w:r>
        <w:rPr>
          <w:rFonts w:hint="eastAsia"/>
        </w:rPr>
        <w:t>专业能力要求</w:t>
      </w:r>
    </w:p>
    <w:p w:rsidR="007C6B89" w:rsidRDefault="00BC1383">
      <w:r>
        <w:rPr>
          <w:rFonts w:hint="eastAsia"/>
        </w:rPr>
        <w:t>熟练掌握一门外国语言，并能阅读本专业的中文和外文资料，能熟练撰写本专业领域中文和外文论文。具有较强的学习和实践能力，熟悉学科相关</w:t>
      </w:r>
      <w:r>
        <w:rPr>
          <w:rFonts w:hint="eastAsia"/>
        </w:rPr>
        <w:lastRenderedPageBreak/>
        <w:t>基础理论知识，能系统掌握本学科的专业知识、工程技术原理和方法。关心轻工技术与工程学科及相关产业的发展趋势及前沿研究领域，对学科理论或技术具有浓厚的研究兴趣，有较强的学术敏锐性和创新意识。能够以书面、口头方式清晰表述和报告科研结果。具有良好的团队协作精神和意识。</w:t>
      </w:r>
    </w:p>
    <w:p w:rsidR="007C6B89" w:rsidRDefault="00BC1383">
      <w:pPr>
        <w:pStyle w:val="1"/>
      </w:pPr>
      <w:r>
        <w:rPr>
          <w:rFonts w:hint="eastAsia"/>
        </w:rPr>
        <w:t>四、培养方向</w:t>
      </w:r>
    </w:p>
    <w:p w:rsidR="007C6B89" w:rsidRDefault="00BC1383">
      <w:pPr>
        <w:pStyle w:val="2"/>
      </w:pPr>
      <w:r>
        <w:rPr>
          <w:rFonts w:hint="eastAsia"/>
        </w:rPr>
        <w:t>1.</w:t>
      </w:r>
      <w:r>
        <w:t xml:space="preserve"> </w:t>
      </w:r>
      <w:r>
        <w:rPr>
          <w:rFonts w:hint="eastAsia"/>
        </w:rPr>
        <w:t>制浆造纸工程（方向</w:t>
      </w:r>
      <w:r>
        <w:rPr>
          <w:rFonts w:hint="eastAsia"/>
        </w:rPr>
        <w:t>1</w:t>
      </w:r>
      <w:r>
        <w:rPr>
          <w:rFonts w:hint="eastAsia"/>
        </w:rPr>
        <w:t>）</w:t>
      </w:r>
    </w:p>
    <w:p w:rsidR="007C6B89" w:rsidRDefault="00BC1383">
      <w:r>
        <w:rPr>
          <w:rFonts w:hint="eastAsia"/>
        </w:rPr>
        <w:t>研究植物纤维原料的组分分离及功能化改性技术；植物纤维生物质炼制过程中新型绿色化学技术及生物技术；纤维的再生利用技术；制浆造纸过程中有害物质产生机制及控制技术；造纸</w:t>
      </w:r>
      <w:proofErr w:type="gramStart"/>
      <w:r>
        <w:rPr>
          <w:rFonts w:hint="eastAsia"/>
        </w:rPr>
        <w:t>过程湿部化学</w:t>
      </w:r>
      <w:proofErr w:type="gramEnd"/>
      <w:r>
        <w:rPr>
          <w:rFonts w:hint="eastAsia"/>
        </w:rPr>
        <w:t>理论及新型造纸化学品开发与应用；纸基功能材料及专用化学品制备技术；制浆造纸设备的设计制造及控制理论等。</w:t>
      </w:r>
    </w:p>
    <w:p w:rsidR="007C6B89" w:rsidRDefault="00BC1383">
      <w:pPr>
        <w:pStyle w:val="2"/>
      </w:pPr>
      <w:r>
        <w:rPr>
          <w:rFonts w:hint="eastAsia"/>
        </w:rPr>
        <w:t>2.</w:t>
      </w:r>
      <w:r>
        <w:t xml:space="preserve"> </w:t>
      </w:r>
      <w:r>
        <w:rPr>
          <w:rFonts w:hint="eastAsia"/>
        </w:rPr>
        <w:t>生物质化学工程（方向</w:t>
      </w:r>
      <w:r>
        <w:t>2</w:t>
      </w:r>
      <w:r>
        <w:rPr>
          <w:rFonts w:hint="eastAsia"/>
        </w:rPr>
        <w:t>）</w:t>
      </w:r>
    </w:p>
    <w:p w:rsidR="007C6B89" w:rsidRDefault="00BC1383">
      <w:r>
        <w:rPr>
          <w:rFonts w:hint="eastAsia"/>
        </w:rPr>
        <w:t>研究基于制浆造纸的木材和非木材生物</w:t>
      </w:r>
      <w:proofErr w:type="gramStart"/>
      <w:r>
        <w:rPr>
          <w:rFonts w:hint="eastAsia"/>
        </w:rPr>
        <w:t>基资源</w:t>
      </w:r>
      <w:proofErr w:type="gramEnd"/>
      <w:r>
        <w:rPr>
          <w:rFonts w:hint="eastAsia"/>
        </w:rPr>
        <w:t>的化学加工与利用技术；木材和非木材生物质资源的物理、化学及生物改性技术；生物质资源的功能化衍生技术；生物基高附加值功能材料和精细化学品的转化原理及应用技术；农林废弃植物或能源植物原料的能源化利用技术；生物质组分结构特性分析技术。</w:t>
      </w:r>
    </w:p>
    <w:p w:rsidR="007C6B89" w:rsidRDefault="00BC1383">
      <w:pPr>
        <w:pStyle w:val="2"/>
      </w:pPr>
      <w:r>
        <w:rPr>
          <w:rFonts w:hint="eastAsia"/>
        </w:rPr>
        <w:t>3.</w:t>
      </w:r>
      <w:r>
        <w:t xml:space="preserve"> </w:t>
      </w:r>
      <w:r>
        <w:rPr>
          <w:rFonts w:hint="eastAsia"/>
        </w:rPr>
        <w:t>皮革化学与工程（方向</w:t>
      </w:r>
      <w:r>
        <w:t>3</w:t>
      </w:r>
      <w:r>
        <w:rPr>
          <w:rFonts w:hint="eastAsia"/>
        </w:rPr>
        <w:t>）</w:t>
      </w:r>
    </w:p>
    <w:p w:rsidR="007C6B89" w:rsidRDefault="00BC1383">
      <w:r>
        <w:rPr>
          <w:rFonts w:hint="eastAsia"/>
        </w:rPr>
        <w:t>研究制革生产的基础理论及新型皮革产品开发；制革生产过程中的生态设计及绿色生产技术；制革废弃物的安全处置及资源化利用技术；动物</w:t>
      </w:r>
      <w:proofErr w:type="gramStart"/>
      <w:r>
        <w:rPr>
          <w:rFonts w:hint="eastAsia"/>
        </w:rPr>
        <w:t>皮相关</w:t>
      </w:r>
      <w:proofErr w:type="gramEnd"/>
      <w:r>
        <w:rPr>
          <w:rFonts w:hint="eastAsia"/>
        </w:rPr>
        <w:t>蛋白质的结构、性能、反应特性等应用基础；胶原蛋白的改性机理和新</w:t>
      </w:r>
      <w:r>
        <w:rPr>
          <w:rFonts w:hint="eastAsia"/>
        </w:rPr>
        <w:lastRenderedPageBreak/>
        <w:t>型胶原</w:t>
      </w:r>
      <w:proofErr w:type="gramStart"/>
      <w:r>
        <w:rPr>
          <w:rFonts w:hint="eastAsia"/>
        </w:rPr>
        <w:t>基材料</w:t>
      </w:r>
      <w:proofErr w:type="gramEnd"/>
      <w:r>
        <w:rPr>
          <w:rFonts w:hint="eastAsia"/>
        </w:rPr>
        <w:t>的研究与开发；制革化工材料与皮蛋白的作用机理；新型制革化学品的设计、开发及绿色生产技术；合成革加工的基本理论及绿色生产技术。</w:t>
      </w:r>
    </w:p>
    <w:p w:rsidR="007C6B89" w:rsidRDefault="00BC1383">
      <w:pPr>
        <w:pStyle w:val="2"/>
      </w:pPr>
      <w:r>
        <w:rPr>
          <w:rFonts w:hint="eastAsia"/>
        </w:rPr>
        <w:t>4.</w:t>
      </w:r>
      <w:r>
        <w:t xml:space="preserve"> </w:t>
      </w:r>
      <w:r>
        <w:rPr>
          <w:rFonts w:hint="eastAsia"/>
        </w:rPr>
        <w:t>印刷与包装工程（方向</w:t>
      </w:r>
      <w:r>
        <w:t>4</w:t>
      </w:r>
      <w:r>
        <w:rPr>
          <w:rFonts w:hint="eastAsia"/>
        </w:rPr>
        <w:t>）</w:t>
      </w:r>
    </w:p>
    <w:p w:rsidR="007C6B89" w:rsidRDefault="00BC1383">
      <w:r>
        <w:rPr>
          <w:rFonts w:hint="eastAsia"/>
        </w:rPr>
        <w:t>研究印刷包装新材料的制备、分析和应用技术，绿色印刷和智能包装新工艺；研究印刷电子相关技术基及柔性可穿戴产品的大规模印刷相关技术；研究印刷图像的数字处理技术及</w:t>
      </w:r>
      <w:r>
        <w:rPr>
          <w:rFonts w:hint="eastAsia"/>
        </w:rPr>
        <w:t>3D</w:t>
      </w:r>
      <w:r>
        <w:rPr>
          <w:rFonts w:hint="eastAsia"/>
        </w:rPr>
        <w:t>打印技术；研究图像传播中色彩管理技术、印刷复制配色技术和颜色复制质量评价等；研究印刷包装设备检测与控制、印刷品质量机器视觉检测关键技术等。</w:t>
      </w:r>
    </w:p>
    <w:p w:rsidR="007C6B89" w:rsidRDefault="00BC1383">
      <w:pPr>
        <w:pStyle w:val="1"/>
      </w:pPr>
      <w:r>
        <w:rPr>
          <w:rFonts w:hint="eastAsia"/>
        </w:rPr>
        <w:t>五、学习方式与修业年限</w:t>
      </w:r>
    </w:p>
    <w:p w:rsidR="007C6B89" w:rsidRDefault="00BC1383">
      <w:r>
        <w:rPr>
          <w:rFonts w:hint="eastAsia"/>
        </w:rPr>
        <w:t>采用全日制学习方式。硕士研究生的学制为</w:t>
      </w:r>
      <w:r>
        <w:rPr>
          <w:rFonts w:hint="eastAsia"/>
        </w:rPr>
        <w:t>3</w:t>
      </w:r>
      <w:r>
        <w:rPr>
          <w:rFonts w:hint="eastAsia"/>
        </w:rPr>
        <w:t>年，在校修业年限不少于</w:t>
      </w:r>
      <w:r>
        <w:rPr>
          <w:rFonts w:hint="eastAsia"/>
        </w:rPr>
        <w:t>2</w:t>
      </w:r>
      <w:r>
        <w:rPr>
          <w:rFonts w:hint="eastAsia"/>
        </w:rPr>
        <w:t>年，不超过</w:t>
      </w:r>
      <w:r>
        <w:rPr>
          <w:rFonts w:hint="eastAsia"/>
        </w:rPr>
        <w:t>5</w:t>
      </w:r>
      <w:r>
        <w:rPr>
          <w:rFonts w:hint="eastAsia"/>
        </w:rPr>
        <w:t>年（含休学、保留学籍、延期毕业时间）。其中，论文研究时间不少于</w:t>
      </w:r>
      <w:r>
        <w:rPr>
          <w:rFonts w:hint="eastAsia"/>
        </w:rPr>
        <w:t>1</w:t>
      </w:r>
      <w:r>
        <w:rPr>
          <w:rFonts w:hint="eastAsia"/>
        </w:rPr>
        <w:t>年（从通过论文开题到答辩申请）。</w:t>
      </w:r>
    </w:p>
    <w:p w:rsidR="007C6B89" w:rsidRDefault="00BC1383">
      <w:pPr>
        <w:pStyle w:val="1"/>
      </w:pPr>
      <w:r>
        <w:rPr>
          <w:rFonts w:hint="eastAsia"/>
        </w:rPr>
        <w:t>六、培养方式</w:t>
      </w:r>
    </w:p>
    <w:p w:rsidR="007C6B89" w:rsidRDefault="00BC1383">
      <w:r>
        <w:rPr>
          <w:rFonts w:hint="eastAsia"/>
        </w:rPr>
        <w:t>学术学位硕士研究生的培养采用导师负责制，主要采取课程学习、学术活动、科研训练和论文研究工作相结合的方式，系统掌握本学科的理论知识，培养学生分析问题和解决问题的能力。</w:t>
      </w:r>
    </w:p>
    <w:p w:rsidR="007C6B89" w:rsidRDefault="00BC1383">
      <w:pPr>
        <w:pStyle w:val="1"/>
      </w:pPr>
      <w:r>
        <w:rPr>
          <w:rFonts w:hint="eastAsia"/>
        </w:rPr>
        <w:t>七、学分要求与课程设置</w:t>
      </w:r>
    </w:p>
    <w:p w:rsidR="007C6B89" w:rsidRDefault="00BC1383">
      <w:pPr>
        <w:pStyle w:val="2"/>
      </w:pPr>
      <w:r>
        <w:rPr>
          <w:rFonts w:hint="eastAsia"/>
        </w:rPr>
        <w:t>1.</w:t>
      </w:r>
      <w:r>
        <w:t xml:space="preserve"> </w:t>
      </w:r>
      <w:r>
        <w:rPr>
          <w:rFonts w:hint="eastAsia"/>
        </w:rPr>
        <w:t>学分要求</w:t>
      </w:r>
    </w:p>
    <w:p w:rsidR="007C6B89" w:rsidRDefault="00BC1383">
      <w:r w:rsidRPr="004641B0">
        <w:rPr>
          <w:rFonts w:hint="eastAsia"/>
          <w:color w:val="000000" w:themeColor="text1"/>
        </w:rPr>
        <w:t>总学分不低于</w:t>
      </w:r>
      <w:r w:rsidRPr="004641B0">
        <w:rPr>
          <w:color w:val="000000" w:themeColor="text1"/>
        </w:rPr>
        <w:t>32</w:t>
      </w:r>
      <w:r w:rsidRPr="004641B0">
        <w:rPr>
          <w:rFonts w:hint="eastAsia"/>
          <w:color w:val="000000" w:themeColor="text1"/>
        </w:rPr>
        <w:t>学分</w:t>
      </w:r>
      <w:r>
        <w:rPr>
          <w:rFonts w:hint="eastAsia"/>
        </w:rPr>
        <w:t>，其中课程学分不低于</w:t>
      </w:r>
      <w:r>
        <w:t>28</w:t>
      </w:r>
      <w:r>
        <w:rPr>
          <w:rFonts w:hint="eastAsia"/>
        </w:rPr>
        <w:t>学分，必修环节</w:t>
      </w:r>
      <w:r>
        <w:t>3</w:t>
      </w:r>
      <w:r>
        <w:rPr>
          <w:rFonts w:hint="eastAsia"/>
        </w:rPr>
        <w:t>学</w:t>
      </w:r>
      <w:r>
        <w:rPr>
          <w:rFonts w:hint="eastAsia"/>
        </w:rPr>
        <w:lastRenderedPageBreak/>
        <w:t>分。</w:t>
      </w:r>
    </w:p>
    <w:p w:rsidR="007C6B89" w:rsidRDefault="00BC1383">
      <w:pPr>
        <w:pStyle w:val="2"/>
      </w:pPr>
      <w:r>
        <w:rPr>
          <w:rFonts w:hint="eastAsia"/>
        </w:rPr>
        <w:t>2.</w:t>
      </w:r>
      <w:r>
        <w:t xml:space="preserve"> </w:t>
      </w:r>
      <w:r>
        <w:rPr>
          <w:rFonts w:hint="eastAsia"/>
        </w:rPr>
        <w:t>课程设置</w:t>
      </w:r>
    </w:p>
    <w:p w:rsidR="007C6B89" w:rsidRDefault="00BC1383">
      <w:r>
        <w:t>学术学位硕士研究生课程体系由公共必修课、专业必修课、专业选修课等构成。课程考核采用百分制，公共必修课程和专业必修课程</w:t>
      </w:r>
      <w:r>
        <w:t>70</w:t>
      </w:r>
      <w:r>
        <w:t>分合格，专业选修课程</w:t>
      </w:r>
      <w:r>
        <w:t>60</w:t>
      </w:r>
      <w:r>
        <w:t>分合格。达到合格要求的可获得相应的学分。课程设置如下：</w:t>
      </w:r>
    </w:p>
    <w:p w:rsidR="007C6B89" w:rsidRDefault="00BC1383">
      <w:pPr>
        <w:pStyle w:val="3"/>
        <w:adjustRightInd w:val="0"/>
        <w:snapToGrid w:val="0"/>
        <w:spacing w:beforeLines="50" w:before="156" w:afterLines="50" w:after="156" w:line="240" w:lineRule="auto"/>
        <w:ind w:firstLineChars="0" w:firstLine="0"/>
        <w:rPr>
          <w:sz w:val="28"/>
        </w:rPr>
      </w:pPr>
      <w:r>
        <w:rPr>
          <w:sz w:val="28"/>
        </w:rPr>
        <w:t>（</w:t>
      </w:r>
      <w:r>
        <w:rPr>
          <w:sz w:val="28"/>
        </w:rPr>
        <w:t>1</w:t>
      </w:r>
      <w:r>
        <w:rPr>
          <w:sz w:val="28"/>
        </w:rPr>
        <w:t>）公共必修课（</w:t>
      </w:r>
      <w:r>
        <w:rPr>
          <w:sz w:val="28"/>
        </w:rPr>
        <w:t>8</w:t>
      </w:r>
      <w:r>
        <w:rPr>
          <w:sz w:val="28"/>
        </w:rPr>
        <w:t>学分）</w:t>
      </w:r>
    </w:p>
    <w:p w:rsidR="007C6B89" w:rsidRDefault="00BC1383">
      <w:r>
        <w:t>公共必修课程包括新时代中国特色社会主义理论与实践、自然辩证法概论、第一外国语、体美劳综合素养概论。其中，入学前三年内通过大学生英语六级或两年内的</w:t>
      </w:r>
      <w:proofErr w:type="gramStart"/>
      <w:r>
        <w:t>雅思成绩</w:t>
      </w:r>
      <w:proofErr w:type="gramEnd"/>
      <w:r>
        <w:t>6.0</w:t>
      </w:r>
      <w:r>
        <w:t>或托福</w:t>
      </w:r>
      <w:r>
        <w:t>75</w:t>
      </w:r>
      <w:r>
        <w:t>分以上的可申请免修第一外国语，成绩按</w:t>
      </w:r>
      <w:r>
        <w:t>75</w:t>
      </w:r>
      <w:r>
        <w:t>分计。</w:t>
      </w:r>
    </w:p>
    <w:p w:rsidR="007C6B89" w:rsidRDefault="00BC1383">
      <w:pPr>
        <w:pStyle w:val="3"/>
        <w:numPr>
          <w:ilvl w:val="0"/>
          <w:numId w:val="1"/>
        </w:numPr>
        <w:adjustRightInd w:val="0"/>
        <w:snapToGrid w:val="0"/>
        <w:spacing w:beforeLines="50" w:before="156" w:afterLines="50" w:after="156" w:line="240" w:lineRule="auto"/>
        <w:ind w:firstLineChars="0" w:firstLine="0"/>
        <w:rPr>
          <w:sz w:val="28"/>
        </w:rPr>
      </w:pPr>
      <w:r>
        <w:rPr>
          <w:sz w:val="28"/>
        </w:rPr>
        <w:t>专业必修课（</w:t>
      </w:r>
      <w:r>
        <w:rPr>
          <w:sz w:val="28"/>
        </w:rPr>
        <w:t>1</w:t>
      </w:r>
      <w:r>
        <w:rPr>
          <w:rFonts w:hint="eastAsia"/>
          <w:sz w:val="28"/>
        </w:rPr>
        <w:t>1</w:t>
      </w:r>
      <w:r>
        <w:rPr>
          <w:sz w:val="28"/>
        </w:rPr>
        <w:t>学分）</w:t>
      </w:r>
    </w:p>
    <w:p w:rsidR="007C6B89" w:rsidRDefault="00BC1383">
      <w:r>
        <w:rPr>
          <w:rFonts w:hint="eastAsia"/>
        </w:rPr>
        <w:t>专业必修课程是供本专业研究生学习的基础类课程。</w:t>
      </w:r>
    </w:p>
    <w:p w:rsidR="007C6B89" w:rsidRDefault="00BC1383">
      <w:pPr>
        <w:ind w:firstLine="562"/>
        <w:rPr>
          <w:b/>
          <w:bCs/>
        </w:rPr>
      </w:pPr>
      <w:r>
        <w:rPr>
          <w:rFonts w:hint="eastAsia"/>
          <w:b/>
          <w:bCs/>
        </w:rPr>
        <w:t>①</w:t>
      </w:r>
      <w:r>
        <w:rPr>
          <w:rFonts w:hint="eastAsia"/>
          <w:b/>
          <w:bCs/>
        </w:rPr>
        <w:t xml:space="preserve"> </w:t>
      </w:r>
      <w:r>
        <w:rPr>
          <w:rFonts w:hint="eastAsia"/>
          <w:b/>
          <w:bCs/>
        </w:rPr>
        <w:t>制浆造纸工程（方向</w:t>
      </w:r>
      <w:r>
        <w:rPr>
          <w:rFonts w:hint="eastAsia"/>
          <w:b/>
          <w:bCs/>
        </w:rPr>
        <w:t>1</w:t>
      </w:r>
      <w:r>
        <w:rPr>
          <w:rFonts w:hint="eastAsia"/>
          <w:b/>
          <w:bCs/>
        </w:rPr>
        <w:t>）和生物质化学工程（方向</w:t>
      </w:r>
      <w:r>
        <w:rPr>
          <w:rFonts w:hint="eastAsia"/>
          <w:b/>
          <w:bCs/>
        </w:rPr>
        <w:t>2</w:t>
      </w:r>
      <w:r>
        <w:rPr>
          <w:rFonts w:hint="eastAsia"/>
          <w:b/>
          <w:bCs/>
        </w:rPr>
        <w:t>）</w:t>
      </w:r>
    </w:p>
    <w:p w:rsidR="007C6B89" w:rsidRDefault="00BC1383">
      <w:r>
        <w:rPr>
          <w:rFonts w:hint="eastAsia"/>
        </w:rPr>
        <w:t>方向</w:t>
      </w:r>
      <w:r>
        <w:rPr>
          <w:rFonts w:hint="eastAsia"/>
        </w:rPr>
        <w:t>1</w:t>
      </w:r>
      <w:r>
        <w:rPr>
          <w:rFonts w:hint="eastAsia"/>
        </w:rPr>
        <w:t>和方向</w:t>
      </w:r>
      <w:r>
        <w:rPr>
          <w:rFonts w:hint="eastAsia"/>
        </w:rPr>
        <w:t>2</w:t>
      </w:r>
      <w:r>
        <w:rPr>
          <w:rFonts w:hint="eastAsia"/>
        </w:rPr>
        <w:t>专业必修课包括论文写作与学术道德规范、学科前沿专题课程、碳水化合物基础科学、现代仪器分析技术、天然高分子材料、胶体与界面化学。</w:t>
      </w:r>
    </w:p>
    <w:p w:rsidR="007C6B89" w:rsidRDefault="00BC1383">
      <w:pPr>
        <w:ind w:firstLine="562"/>
        <w:rPr>
          <w:b/>
          <w:bCs/>
        </w:rPr>
      </w:pPr>
      <w:r>
        <w:rPr>
          <w:rFonts w:hint="eastAsia"/>
          <w:b/>
          <w:bCs/>
        </w:rPr>
        <w:t>②</w:t>
      </w:r>
      <w:r>
        <w:rPr>
          <w:rFonts w:hint="eastAsia"/>
          <w:b/>
          <w:bCs/>
        </w:rPr>
        <w:t xml:space="preserve"> </w:t>
      </w:r>
      <w:r>
        <w:rPr>
          <w:rFonts w:hint="eastAsia"/>
          <w:b/>
          <w:bCs/>
        </w:rPr>
        <w:t>皮革化学与工程（方向</w:t>
      </w:r>
      <w:r>
        <w:rPr>
          <w:rFonts w:hint="eastAsia"/>
          <w:b/>
          <w:bCs/>
        </w:rPr>
        <w:t>3</w:t>
      </w:r>
      <w:r>
        <w:rPr>
          <w:rFonts w:hint="eastAsia"/>
          <w:b/>
          <w:bCs/>
        </w:rPr>
        <w:t>）</w:t>
      </w:r>
    </w:p>
    <w:p w:rsidR="007C6B89" w:rsidRDefault="00BC1383">
      <w:r>
        <w:rPr>
          <w:rFonts w:hint="eastAsia"/>
        </w:rPr>
        <w:t>方向</w:t>
      </w:r>
      <w:r>
        <w:rPr>
          <w:rFonts w:hint="eastAsia"/>
        </w:rPr>
        <w:t>3</w:t>
      </w:r>
      <w:r>
        <w:rPr>
          <w:rFonts w:hint="eastAsia"/>
        </w:rPr>
        <w:t>专业必修课包括论文写作与学术道德规范、学科前沿专题课程、现代分析方法与技术、新型制革技术与绿色制革工程、高分子化学进展、胶体与界面化学。</w:t>
      </w:r>
    </w:p>
    <w:p w:rsidR="007C6B89" w:rsidRDefault="00BC1383">
      <w:pPr>
        <w:ind w:firstLine="562"/>
        <w:rPr>
          <w:b/>
          <w:bCs/>
        </w:rPr>
      </w:pPr>
      <w:r>
        <w:rPr>
          <w:rFonts w:hint="eastAsia"/>
          <w:b/>
          <w:bCs/>
        </w:rPr>
        <w:t>③</w:t>
      </w:r>
      <w:r>
        <w:rPr>
          <w:rFonts w:hint="eastAsia"/>
          <w:b/>
          <w:bCs/>
        </w:rPr>
        <w:t xml:space="preserve"> </w:t>
      </w:r>
      <w:r>
        <w:rPr>
          <w:rFonts w:hint="eastAsia"/>
          <w:b/>
          <w:bCs/>
        </w:rPr>
        <w:t>印刷与包装工程（方向</w:t>
      </w:r>
      <w:r>
        <w:rPr>
          <w:rFonts w:hint="eastAsia"/>
          <w:b/>
          <w:bCs/>
        </w:rPr>
        <w:t>4</w:t>
      </w:r>
      <w:r>
        <w:rPr>
          <w:rFonts w:hint="eastAsia"/>
          <w:b/>
          <w:bCs/>
        </w:rPr>
        <w:t>）</w:t>
      </w:r>
    </w:p>
    <w:p w:rsidR="007C6B89" w:rsidRDefault="00BC1383">
      <w:r>
        <w:rPr>
          <w:rFonts w:hint="eastAsia"/>
        </w:rPr>
        <w:lastRenderedPageBreak/>
        <w:t>方向</w:t>
      </w:r>
      <w:r>
        <w:rPr>
          <w:rFonts w:hint="eastAsia"/>
        </w:rPr>
        <w:t>4</w:t>
      </w:r>
      <w:r>
        <w:rPr>
          <w:rFonts w:hint="eastAsia"/>
        </w:rPr>
        <w:t>专业必修课包括论文写作与学术道德规范、学科前沿专题课程、现代包装材料、现代分析方法与技术、现代颜色技术原理与应用、印刷质量检测与控制技术。</w:t>
      </w:r>
    </w:p>
    <w:p w:rsidR="007C6B89" w:rsidRDefault="00BC1383">
      <w:pPr>
        <w:pStyle w:val="3"/>
        <w:adjustRightInd w:val="0"/>
        <w:snapToGrid w:val="0"/>
        <w:spacing w:beforeLines="50" w:before="156" w:afterLines="50" w:after="156" w:line="240" w:lineRule="auto"/>
        <w:ind w:firstLineChars="0" w:firstLine="0"/>
        <w:rPr>
          <w:sz w:val="28"/>
        </w:rPr>
      </w:pPr>
      <w:r>
        <w:rPr>
          <w:sz w:val="28"/>
        </w:rPr>
        <w:t>（</w:t>
      </w:r>
      <w:r>
        <w:rPr>
          <w:rFonts w:hint="eastAsia"/>
          <w:sz w:val="28"/>
        </w:rPr>
        <w:t>3</w:t>
      </w:r>
      <w:r>
        <w:rPr>
          <w:sz w:val="28"/>
        </w:rPr>
        <w:t>）</w:t>
      </w:r>
      <w:r>
        <w:rPr>
          <w:rFonts w:hint="eastAsia"/>
          <w:sz w:val="28"/>
        </w:rPr>
        <w:t>专业选修课（不低于</w:t>
      </w:r>
      <w:r>
        <w:rPr>
          <w:rFonts w:hint="eastAsia"/>
          <w:sz w:val="28"/>
        </w:rPr>
        <w:t>10</w:t>
      </w:r>
      <w:r>
        <w:rPr>
          <w:rFonts w:hint="eastAsia"/>
          <w:sz w:val="28"/>
        </w:rPr>
        <w:t>学分）</w:t>
      </w:r>
    </w:p>
    <w:p w:rsidR="007C6B89" w:rsidRDefault="00BC1383">
      <w:r>
        <w:rPr>
          <w:rFonts w:hint="eastAsia"/>
        </w:rPr>
        <w:t>专业选修课程是供研究生进一步拓宽专业基础理论知识，扩大知识面所设置的课程。</w:t>
      </w:r>
    </w:p>
    <w:p w:rsidR="007C6B89" w:rsidRDefault="00BC1383">
      <w:r>
        <w:rPr>
          <w:rFonts w:hint="eastAsia"/>
        </w:rPr>
        <w:t>制浆造纸工程和生物质化学工程研究方向专业选修课包括专业英语、植物纤维化学结构及分析方法、制浆造纸分析检测技术、纸页结构与性能、制浆化学、制浆造纸生物技术、速生材制浆造纸性能、纤维高效再利用新技术、</w:t>
      </w:r>
      <w:proofErr w:type="gramStart"/>
      <w:r>
        <w:rPr>
          <w:rFonts w:hint="eastAsia"/>
        </w:rPr>
        <w:t>造纸湿部化学</w:t>
      </w:r>
      <w:proofErr w:type="gramEnd"/>
      <w:r>
        <w:rPr>
          <w:rFonts w:hint="eastAsia"/>
        </w:rPr>
        <w:t>、造纸纤维与填料改性技术、特种纸与功能纸、生物质化工与材料、生物质精炼和资源化利用、固体废弃物高效利用与资源化、工业水处理技术。</w:t>
      </w:r>
    </w:p>
    <w:p w:rsidR="007C6B89" w:rsidRDefault="00BC1383">
      <w:pPr>
        <w:pStyle w:val="3"/>
        <w:adjustRightInd w:val="0"/>
        <w:snapToGrid w:val="0"/>
        <w:spacing w:beforeLines="50" w:before="156" w:afterLines="50" w:after="156" w:line="240" w:lineRule="auto"/>
        <w:ind w:firstLineChars="0" w:firstLine="0"/>
        <w:rPr>
          <w:sz w:val="28"/>
        </w:rPr>
      </w:pPr>
      <w:r>
        <w:rPr>
          <w:rFonts w:hint="eastAsia"/>
          <w:sz w:val="28"/>
        </w:rPr>
        <w:t>（</w:t>
      </w:r>
      <w:r>
        <w:rPr>
          <w:rFonts w:hint="eastAsia"/>
          <w:sz w:val="28"/>
        </w:rPr>
        <w:t>4</w:t>
      </w:r>
      <w:r>
        <w:rPr>
          <w:rFonts w:hint="eastAsia"/>
          <w:sz w:val="28"/>
        </w:rPr>
        <w:t>）补修课程（不计学分）</w:t>
      </w:r>
    </w:p>
    <w:p w:rsidR="007C6B89" w:rsidRDefault="00BC1383">
      <w:r>
        <w:rPr>
          <w:rFonts w:hint="eastAsia"/>
        </w:rPr>
        <w:t>对于跨学科考入以及由于其他原因入学以后需进行适当补课的研究生，由培养单位和导师认定后，都需补修录取专业有关的大学本科主干课程。</w:t>
      </w:r>
    </w:p>
    <w:p w:rsidR="007C6B89" w:rsidRDefault="00BC1383">
      <w:pPr>
        <w:pStyle w:val="2"/>
      </w:pPr>
      <w:r>
        <w:rPr>
          <w:rFonts w:hint="eastAsia"/>
        </w:rPr>
        <w:t xml:space="preserve">3. </w:t>
      </w:r>
      <w:r>
        <w:rPr>
          <w:rFonts w:hint="eastAsia"/>
        </w:rPr>
        <w:t>必修环节设置</w:t>
      </w:r>
    </w:p>
    <w:p w:rsidR="007C6B89" w:rsidRDefault="00BC1383">
      <w:r>
        <w:rPr>
          <w:rFonts w:hint="eastAsia"/>
        </w:rPr>
        <w:t>学术学位硕士研究生必修环节包括文献阅读与开题报告、中期考核（</w:t>
      </w:r>
      <w:r>
        <w:rPr>
          <w:rFonts w:hint="eastAsia"/>
        </w:rPr>
        <w:t>1</w:t>
      </w:r>
      <w:r>
        <w:rPr>
          <w:rFonts w:hint="eastAsia"/>
        </w:rPr>
        <w:t>学分）、实践活动（</w:t>
      </w:r>
      <w:r>
        <w:rPr>
          <w:rFonts w:hint="eastAsia"/>
        </w:rPr>
        <w:t>1</w:t>
      </w:r>
      <w:r>
        <w:rPr>
          <w:rFonts w:hint="eastAsia"/>
        </w:rPr>
        <w:t>学分）、学术活动（</w:t>
      </w:r>
      <w:r>
        <w:rPr>
          <w:rFonts w:hint="eastAsia"/>
        </w:rPr>
        <w:t>1</w:t>
      </w:r>
      <w:r>
        <w:rPr>
          <w:rFonts w:hint="eastAsia"/>
        </w:rPr>
        <w:t>学分）。</w:t>
      </w:r>
    </w:p>
    <w:p w:rsidR="007C6B89" w:rsidRDefault="00BC1383">
      <w:pPr>
        <w:pStyle w:val="3"/>
        <w:adjustRightInd w:val="0"/>
        <w:snapToGrid w:val="0"/>
        <w:spacing w:beforeLines="50" w:before="156" w:afterLines="50" w:after="156" w:line="240" w:lineRule="auto"/>
        <w:ind w:firstLineChars="0" w:firstLine="0"/>
        <w:rPr>
          <w:sz w:val="28"/>
        </w:rPr>
      </w:pPr>
      <w:r>
        <w:rPr>
          <w:rFonts w:hint="eastAsia"/>
          <w:sz w:val="28"/>
        </w:rPr>
        <w:t>（</w:t>
      </w:r>
      <w:r>
        <w:rPr>
          <w:rFonts w:hint="eastAsia"/>
          <w:sz w:val="28"/>
        </w:rPr>
        <w:t>1</w:t>
      </w:r>
      <w:r>
        <w:rPr>
          <w:rFonts w:hint="eastAsia"/>
          <w:sz w:val="28"/>
        </w:rPr>
        <w:t>）文献阅读与开题报告</w:t>
      </w:r>
    </w:p>
    <w:p w:rsidR="007C6B89" w:rsidRDefault="00BC1383">
      <w:r>
        <w:rPr>
          <w:rFonts w:hint="eastAsia"/>
        </w:rPr>
        <w:t>入学后，研究生要结合本人研究方向，积极开展文献调研，研读一定数量以上专业文献（其中应有一定数量的外文文献），撰写文献综述或总结报告。</w:t>
      </w:r>
    </w:p>
    <w:p w:rsidR="007C6B89" w:rsidRDefault="00BC1383">
      <w:r>
        <w:rPr>
          <w:rFonts w:hint="eastAsia"/>
        </w:rPr>
        <w:lastRenderedPageBreak/>
        <w:t>结合文献调研和工程研究，研究生要在导师的指导下，在第三学期第</w:t>
      </w:r>
      <w:r>
        <w:t>4-8</w:t>
      </w:r>
      <w:r>
        <w:rPr>
          <w:rFonts w:hint="eastAsia"/>
        </w:rPr>
        <w:t>周内确定学位论文题目并进行论文开题报告论证。</w:t>
      </w:r>
    </w:p>
    <w:p w:rsidR="007C6B89" w:rsidRDefault="00BC1383">
      <w:r>
        <w:rPr>
          <w:rFonts w:hint="eastAsia"/>
        </w:rPr>
        <w:t>学位论文开题应在相应的课题组和学科范围内进行（开题小组由</w:t>
      </w:r>
      <w:r>
        <w:t>3</w:t>
      </w:r>
      <w:r>
        <w:rPr>
          <w:rFonts w:hint="eastAsia"/>
        </w:rPr>
        <w:t>～</w:t>
      </w:r>
      <w:r>
        <w:t xml:space="preserve">5 </w:t>
      </w:r>
      <w:r>
        <w:rPr>
          <w:rFonts w:hint="eastAsia"/>
        </w:rPr>
        <w:t>位专家组成），采取答辩方式进行，听取意见的基础上，修订和补充开题报告并最终确定论文研究内容等，并要求提交书面开题报告。没有通过论文开题报告论证的研究生，可在一个月内按上述程序重新参加一次论文开题报告论证。如仍未通过论文开题报告论证，该研究生将不能进入下</w:t>
      </w:r>
      <w:proofErr w:type="gramStart"/>
      <w:r>
        <w:rPr>
          <w:rFonts w:hint="eastAsia"/>
        </w:rPr>
        <w:t>一培养</w:t>
      </w:r>
      <w:proofErr w:type="gramEnd"/>
      <w:r>
        <w:rPr>
          <w:rFonts w:hint="eastAsia"/>
        </w:rPr>
        <w:t>环节。</w:t>
      </w:r>
    </w:p>
    <w:p w:rsidR="007C6B89" w:rsidRDefault="00BC1383">
      <w:pPr>
        <w:pStyle w:val="3"/>
        <w:adjustRightInd w:val="0"/>
        <w:snapToGrid w:val="0"/>
        <w:spacing w:beforeLines="50" w:before="156" w:afterLines="50" w:after="156" w:line="240" w:lineRule="auto"/>
        <w:ind w:firstLineChars="0" w:firstLine="0"/>
        <w:rPr>
          <w:sz w:val="28"/>
        </w:rPr>
      </w:pPr>
      <w:r>
        <w:rPr>
          <w:rFonts w:hint="eastAsia"/>
          <w:sz w:val="28"/>
        </w:rPr>
        <w:t>（</w:t>
      </w:r>
      <w:r>
        <w:rPr>
          <w:rFonts w:hint="eastAsia"/>
          <w:sz w:val="28"/>
        </w:rPr>
        <w:t>2</w:t>
      </w:r>
      <w:r>
        <w:rPr>
          <w:rFonts w:hint="eastAsia"/>
          <w:sz w:val="28"/>
        </w:rPr>
        <w:t>）中期考核（</w:t>
      </w:r>
      <w:r>
        <w:rPr>
          <w:rFonts w:hint="eastAsia"/>
          <w:sz w:val="28"/>
        </w:rPr>
        <w:t>1</w:t>
      </w:r>
      <w:r>
        <w:rPr>
          <w:rFonts w:hint="eastAsia"/>
          <w:sz w:val="28"/>
        </w:rPr>
        <w:t>学分）</w:t>
      </w:r>
    </w:p>
    <w:p w:rsidR="007C6B89" w:rsidRDefault="00BC1383">
      <w:r>
        <w:rPr>
          <w:rFonts w:hint="eastAsia"/>
        </w:rPr>
        <w:t>中期考核一般在第四学期第</w:t>
      </w:r>
      <w:r>
        <w:rPr>
          <w:rFonts w:hint="eastAsia"/>
        </w:rPr>
        <w:t>1</w:t>
      </w:r>
      <w:r>
        <w:t>0</w:t>
      </w:r>
      <w:r>
        <w:rPr>
          <w:rFonts w:hint="eastAsia"/>
        </w:rPr>
        <w:t>周前完成，由学部</w:t>
      </w:r>
      <w:r>
        <w:t>参照《齐鲁工业大学（山东省科学院）硕士学位研究生中期考核实施办法》（齐鲁工大鲁科院</w:t>
      </w:r>
      <w:proofErr w:type="gramStart"/>
      <w:r>
        <w:t>研</w:t>
      </w:r>
      <w:proofErr w:type="gramEnd"/>
      <w:r>
        <w:t>字〔</w:t>
      </w:r>
      <w:r>
        <w:t>2022</w:t>
      </w:r>
      <w:r>
        <w:t>〕</w:t>
      </w:r>
      <w:r>
        <w:t>8</w:t>
      </w:r>
      <w:r>
        <w:t>号）</w:t>
      </w:r>
      <w:r>
        <w:rPr>
          <w:rFonts w:hint="eastAsia"/>
        </w:rPr>
        <w:t>组织对研究生的课程学习、实践活动、文献综述、开题报告及学位论文工作研究进展情况等进行全面的考核。中期考核成绩分为优秀、合格、亮“黄牌”、不合格四个等级，填写中期考核表上传到研究生管理系统。通过学位论文开题报告和中期考核，获得</w:t>
      </w:r>
      <w:r>
        <w:rPr>
          <w:rFonts w:hint="eastAsia"/>
        </w:rPr>
        <w:t>1</w:t>
      </w:r>
      <w:r>
        <w:rPr>
          <w:rFonts w:hint="eastAsia"/>
        </w:rPr>
        <w:t>学分。达不到培养方向考核要求的研究生，</w:t>
      </w:r>
      <w:proofErr w:type="gramStart"/>
      <w:r>
        <w:rPr>
          <w:rFonts w:hint="eastAsia"/>
        </w:rPr>
        <w:t>依学校</w:t>
      </w:r>
      <w:proofErr w:type="gramEnd"/>
      <w:r>
        <w:rPr>
          <w:rFonts w:hint="eastAsia"/>
        </w:rPr>
        <w:t>规定进行延期考核或分流。</w:t>
      </w:r>
    </w:p>
    <w:p w:rsidR="007C6B89" w:rsidRDefault="00BC1383">
      <w:pPr>
        <w:pStyle w:val="3"/>
        <w:adjustRightInd w:val="0"/>
        <w:snapToGrid w:val="0"/>
        <w:spacing w:beforeLines="50" w:before="156" w:afterLines="50" w:after="156" w:line="240" w:lineRule="auto"/>
        <w:ind w:firstLineChars="0" w:firstLine="0"/>
        <w:rPr>
          <w:sz w:val="28"/>
        </w:rPr>
      </w:pPr>
      <w:r>
        <w:rPr>
          <w:rFonts w:hint="eastAsia"/>
          <w:sz w:val="28"/>
        </w:rPr>
        <w:t>（</w:t>
      </w:r>
      <w:r>
        <w:rPr>
          <w:rFonts w:hint="eastAsia"/>
          <w:sz w:val="28"/>
        </w:rPr>
        <w:t>3</w:t>
      </w:r>
      <w:r>
        <w:rPr>
          <w:rFonts w:hint="eastAsia"/>
          <w:sz w:val="28"/>
        </w:rPr>
        <w:t>）实践活动（</w:t>
      </w:r>
      <w:r>
        <w:rPr>
          <w:rFonts w:hint="eastAsia"/>
          <w:sz w:val="28"/>
        </w:rPr>
        <w:t>1</w:t>
      </w:r>
      <w:r>
        <w:rPr>
          <w:rFonts w:hint="eastAsia"/>
          <w:sz w:val="28"/>
        </w:rPr>
        <w:t>学分）</w:t>
      </w:r>
    </w:p>
    <w:p w:rsidR="007C6B89" w:rsidRDefault="00BC1383">
      <w:r>
        <w:rPr>
          <w:rFonts w:hint="eastAsia"/>
        </w:rPr>
        <w:t>实践活动包括教学实践、科研实践和社会实践，可任选其一。</w:t>
      </w:r>
    </w:p>
    <w:p w:rsidR="007C6B89" w:rsidRDefault="00BC1383">
      <w:r>
        <w:rPr>
          <w:rFonts w:hint="eastAsia"/>
        </w:rPr>
        <w:t>①</w:t>
      </w:r>
      <w:r>
        <w:rPr>
          <w:rFonts w:hint="eastAsia"/>
        </w:rPr>
        <w:t xml:space="preserve"> </w:t>
      </w:r>
      <w:r>
        <w:rPr>
          <w:rFonts w:hint="eastAsia"/>
        </w:rPr>
        <w:t>教学实践</w:t>
      </w:r>
    </w:p>
    <w:p w:rsidR="007C6B89" w:rsidRDefault="00BC1383">
      <w:r>
        <w:rPr>
          <w:rFonts w:hint="eastAsia"/>
        </w:rPr>
        <w:t>教学实践是培养研究生教学工作能力的一个重要环节。教学实践必须面向本专科生，参加教学第一线工作（包括作为助教辅助老师给本专科生上课、答疑、批改作业、指导实验及毕业论文等），其工作量折合学时应不少于</w:t>
      </w:r>
      <w:r>
        <w:t>16</w:t>
      </w:r>
      <w:r>
        <w:rPr>
          <w:rFonts w:hint="eastAsia"/>
        </w:rPr>
        <w:t>个学时，时间一般安排在第一、二学年，该实践结束后，研究生须写</w:t>
      </w:r>
      <w:r>
        <w:rPr>
          <w:rFonts w:hint="eastAsia"/>
        </w:rPr>
        <w:lastRenderedPageBreak/>
        <w:t>出不少于</w:t>
      </w:r>
      <w:r>
        <w:t>1500</w:t>
      </w:r>
      <w:r>
        <w:rPr>
          <w:rFonts w:hint="eastAsia"/>
        </w:rPr>
        <w:t>字的个人实践总结，填写《齐鲁工业大学（山东省科学院）学术学位硕士研究生教学实践活动报告书》，经导师及所在培养单位审核后，上传研究生管理系统并存档。</w:t>
      </w:r>
    </w:p>
    <w:p w:rsidR="007C6B89" w:rsidRDefault="00BC1383">
      <w:r>
        <w:rPr>
          <w:rFonts w:hint="eastAsia"/>
        </w:rPr>
        <w:t>②</w:t>
      </w:r>
      <w:r>
        <w:rPr>
          <w:rFonts w:hint="eastAsia"/>
        </w:rPr>
        <w:t xml:space="preserve"> </w:t>
      </w:r>
      <w:r>
        <w:rPr>
          <w:rFonts w:hint="eastAsia"/>
        </w:rPr>
        <w:t>科研实践</w:t>
      </w:r>
    </w:p>
    <w:p w:rsidR="007C6B89" w:rsidRDefault="00BC1383">
      <w:r>
        <w:rPr>
          <w:rFonts w:hint="eastAsia"/>
        </w:rPr>
        <w:t>培养单位或研究生导师为研究生安排不少于</w:t>
      </w:r>
      <w:r>
        <w:t>3</w:t>
      </w:r>
      <w:r>
        <w:rPr>
          <w:rFonts w:hint="eastAsia"/>
        </w:rPr>
        <w:t>个周的科研实践，一般安排在第一、二学年完成，科研实践必须为与学位论文无关的课题研究。该实践结束后，研究生须写出不少于</w:t>
      </w:r>
      <w:r>
        <w:t>3000</w:t>
      </w:r>
      <w:r>
        <w:rPr>
          <w:rFonts w:hint="eastAsia"/>
        </w:rPr>
        <w:t>字的实践总结报告，并填写《齐鲁工业大学（山东省科学院）学术学位硕士研究生科研实践活动报告书》，经导师及所在培养单位审核后，上传研究生管理系统并存档。</w:t>
      </w:r>
    </w:p>
    <w:p w:rsidR="007C6B89" w:rsidRDefault="00BC1383">
      <w:r>
        <w:rPr>
          <w:rFonts w:hint="eastAsia"/>
        </w:rPr>
        <w:t>③</w:t>
      </w:r>
      <w:r>
        <w:rPr>
          <w:rFonts w:hint="eastAsia"/>
        </w:rPr>
        <w:t xml:space="preserve"> </w:t>
      </w:r>
      <w:r>
        <w:rPr>
          <w:rFonts w:hint="eastAsia"/>
        </w:rPr>
        <w:t>社会实践</w:t>
      </w:r>
    </w:p>
    <w:p w:rsidR="007C6B89" w:rsidRDefault="00BC1383">
      <w:r>
        <w:rPr>
          <w:rFonts w:hint="eastAsia"/>
        </w:rPr>
        <w:t>社会实践包括研究生在学期间参与的校内研究生助管岗位兼职、实习实践兼职、管理实践、社会调查等。一般安排在研究生入学后第</w:t>
      </w:r>
      <w:r>
        <w:t>1-3</w:t>
      </w:r>
      <w:r>
        <w:rPr>
          <w:rFonts w:hint="eastAsia"/>
        </w:rPr>
        <w:t>学年的暑期。实践时间不少于</w:t>
      </w:r>
      <w:r>
        <w:t>2</w:t>
      </w:r>
      <w:r>
        <w:rPr>
          <w:rFonts w:hint="eastAsia"/>
        </w:rPr>
        <w:t>周。实践结束后填写《齐鲁工业大学（山东省科学院）学术学位硕士研究生社会实践活动报告书》，字数不少于</w:t>
      </w:r>
      <w:r>
        <w:t>3000</w:t>
      </w:r>
      <w:r>
        <w:rPr>
          <w:rFonts w:hint="eastAsia"/>
        </w:rPr>
        <w:t>字，经导师及所在培养单位审核后，上传研究生管理系统并存档。</w:t>
      </w:r>
    </w:p>
    <w:p w:rsidR="007C6B89" w:rsidRDefault="00BC1383">
      <w:pPr>
        <w:pStyle w:val="3"/>
        <w:adjustRightInd w:val="0"/>
        <w:snapToGrid w:val="0"/>
        <w:spacing w:beforeLines="50" w:before="156" w:afterLines="50" w:after="156" w:line="240" w:lineRule="auto"/>
        <w:ind w:firstLineChars="0" w:firstLine="0"/>
        <w:rPr>
          <w:sz w:val="28"/>
        </w:rPr>
      </w:pPr>
      <w:r>
        <w:rPr>
          <w:rFonts w:hint="eastAsia"/>
          <w:sz w:val="28"/>
        </w:rPr>
        <w:t>（</w:t>
      </w:r>
      <w:r>
        <w:rPr>
          <w:rFonts w:hint="eastAsia"/>
          <w:sz w:val="28"/>
        </w:rPr>
        <w:t>4</w:t>
      </w:r>
      <w:r>
        <w:rPr>
          <w:rFonts w:hint="eastAsia"/>
          <w:sz w:val="28"/>
        </w:rPr>
        <w:t>）学术活动（</w:t>
      </w:r>
      <w:r>
        <w:rPr>
          <w:rFonts w:hint="eastAsia"/>
          <w:sz w:val="28"/>
        </w:rPr>
        <w:t>1</w:t>
      </w:r>
      <w:r>
        <w:rPr>
          <w:rFonts w:hint="eastAsia"/>
          <w:sz w:val="28"/>
        </w:rPr>
        <w:t>学分）</w:t>
      </w:r>
    </w:p>
    <w:p w:rsidR="007C6B89" w:rsidRDefault="00BC1383">
      <w:r>
        <w:rPr>
          <w:rFonts w:hint="eastAsia"/>
        </w:rPr>
        <w:t>研究生应积极、主动地参加校（院）内外本学科、专业或其他相关专业的学术讲座、会议、论坛、学科竞赛等各种学术活动。研究生在学期间本人做专题讲座至少</w:t>
      </w:r>
      <w:r>
        <w:rPr>
          <w:rFonts w:hint="eastAsia"/>
        </w:rPr>
        <w:t>2</w:t>
      </w:r>
      <w:r>
        <w:rPr>
          <w:rFonts w:hint="eastAsia"/>
        </w:rPr>
        <w:t>次，听取学术报告至少</w:t>
      </w:r>
      <w:r>
        <w:rPr>
          <w:rFonts w:hint="eastAsia"/>
        </w:rPr>
        <w:t>10</w:t>
      </w:r>
      <w:r>
        <w:rPr>
          <w:rFonts w:hint="eastAsia"/>
        </w:rPr>
        <w:t>次。完成学术活动，获得</w:t>
      </w:r>
      <w:r>
        <w:rPr>
          <w:rFonts w:hint="eastAsia"/>
        </w:rPr>
        <w:t>1</w:t>
      </w:r>
      <w:r>
        <w:rPr>
          <w:rFonts w:hint="eastAsia"/>
        </w:rPr>
        <w:t>学分。研究生应认真填写《齐鲁工业大学（山东省科学院）硕士研究生学术活动考核汇总表》，在答辩资格审核时上传研究生管理系统。凡未达到要求的研究生，校（院）将不受理其学位论文答辩申请。</w:t>
      </w:r>
    </w:p>
    <w:p w:rsidR="007C6B89" w:rsidRDefault="00BC1383">
      <w:pPr>
        <w:ind w:firstLineChars="0" w:firstLine="0"/>
        <w:jc w:val="center"/>
        <w:rPr>
          <w:b/>
          <w:bCs/>
        </w:rPr>
      </w:pPr>
      <w:r>
        <w:rPr>
          <w:rFonts w:hint="eastAsia"/>
          <w:b/>
          <w:bCs/>
        </w:rPr>
        <w:lastRenderedPageBreak/>
        <w:t>适用于方向</w:t>
      </w:r>
      <w:r>
        <w:rPr>
          <w:rFonts w:hint="eastAsia"/>
          <w:b/>
          <w:bCs/>
        </w:rPr>
        <w:t>1</w:t>
      </w:r>
      <w:r>
        <w:rPr>
          <w:rFonts w:hint="eastAsia"/>
          <w:b/>
          <w:bCs/>
        </w:rPr>
        <w:t>、方向</w:t>
      </w:r>
      <w:r>
        <w:rPr>
          <w:rFonts w:hint="eastAsia"/>
          <w:b/>
          <w:bCs/>
        </w:rPr>
        <w:t>2</w:t>
      </w:r>
      <w:r>
        <w:rPr>
          <w:rFonts w:hint="eastAsia"/>
          <w:b/>
          <w:bCs/>
        </w:rPr>
        <w:t>的学术学位硕士研究生培养体系</w:t>
      </w:r>
    </w:p>
    <w:tbl>
      <w:tblPr>
        <w:tblW w:w="5000" w:type="pct"/>
        <w:jc w:val="center"/>
        <w:tblLook w:val="04A0" w:firstRow="1" w:lastRow="0" w:firstColumn="1" w:lastColumn="0" w:noHBand="0" w:noVBand="1"/>
      </w:tblPr>
      <w:tblGrid>
        <w:gridCol w:w="1556"/>
        <w:gridCol w:w="4110"/>
        <w:gridCol w:w="1417"/>
        <w:gridCol w:w="850"/>
        <w:gridCol w:w="1127"/>
      </w:tblGrid>
      <w:tr w:rsidR="007C6B89">
        <w:trPr>
          <w:trHeight w:val="20"/>
          <w:jc w:val="center"/>
        </w:trPr>
        <w:tc>
          <w:tcPr>
            <w:tcW w:w="85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b/>
                <w:bCs/>
                <w:szCs w:val="21"/>
              </w:rPr>
            </w:pPr>
            <w:r>
              <w:rPr>
                <w:rFonts w:ascii="黑体" w:eastAsia="黑体" w:hAnsi="黑体" w:hint="eastAsia"/>
                <w:b/>
                <w:bCs/>
              </w:rPr>
              <w:t>类别</w:t>
            </w:r>
          </w:p>
        </w:tc>
        <w:tc>
          <w:tcPr>
            <w:tcW w:w="2268" w:type="pct"/>
            <w:tcBorders>
              <w:top w:val="single" w:sz="4" w:space="0" w:color="auto"/>
              <w:left w:val="nil"/>
              <w:bottom w:val="single" w:sz="4" w:space="0" w:color="auto"/>
              <w:right w:val="single" w:sz="4" w:space="0" w:color="auto"/>
            </w:tcBorders>
            <w:vAlign w:val="center"/>
          </w:tcPr>
          <w:p w:rsidR="007C6B89" w:rsidRDefault="00BC1383">
            <w:pPr>
              <w:pStyle w:val="ad"/>
              <w:framePr w:hSpace="0" w:wrap="auto" w:vAnchor="margin" w:hAnchor="text" w:xAlign="left" w:yAlign="inline"/>
              <w:adjustRightInd/>
              <w:snapToGrid/>
              <w:spacing w:line="240" w:lineRule="auto"/>
              <w:ind w:firstLineChars="0" w:firstLine="0"/>
              <w:rPr>
                <w:szCs w:val="21"/>
              </w:rPr>
            </w:pPr>
            <w:r>
              <w:rPr>
                <w:rFonts w:hint="eastAsia"/>
              </w:rPr>
              <w:t>课程设置</w:t>
            </w:r>
          </w:p>
        </w:tc>
        <w:tc>
          <w:tcPr>
            <w:tcW w:w="782"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b/>
                <w:bCs/>
                <w:szCs w:val="21"/>
              </w:rPr>
            </w:pPr>
            <w:r>
              <w:rPr>
                <w:rFonts w:ascii="黑体" w:eastAsia="黑体" w:hAnsi="黑体" w:hint="eastAsia"/>
                <w:b/>
                <w:bCs/>
              </w:rPr>
              <w:t>课程分类</w:t>
            </w:r>
          </w:p>
        </w:tc>
        <w:tc>
          <w:tcPr>
            <w:tcW w:w="469"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b/>
                <w:bCs/>
                <w:szCs w:val="21"/>
              </w:rPr>
            </w:pPr>
            <w:r>
              <w:rPr>
                <w:rFonts w:ascii="黑体" w:eastAsia="黑体" w:hAnsi="黑体" w:hint="eastAsia"/>
                <w:b/>
                <w:bCs/>
              </w:rPr>
              <w:t>学分</w:t>
            </w:r>
          </w:p>
        </w:tc>
        <w:tc>
          <w:tcPr>
            <w:tcW w:w="622"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b/>
                <w:bCs/>
                <w:szCs w:val="21"/>
              </w:rPr>
            </w:pPr>
            <w:r>
              <w:rPr>
                <w:rFonts w:ascii="黑体" w:eastAsia="黑体" w:hAnsi="黑体" w:hint="eastAsia"/>
                <w:b/>
                <w:bCs/>
              </w:rPr>
              <w:t>总学分</w:t>
            </w:r>
          </w:p>
        </w:tc>
      </w:tr>
      <w:tr w:rsidR="007C6B89">
        <w:trPr>
          <w:trHeight w:val="340"/>
          <w:jc w:val="center"/>
        </w:trPr>
        <w:tc>
          <w:tcPr>
            <w:tcW w:w="859"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公共必修课</w:t>
            </w: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新时代中国特色社会主义理论与实践</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8</w:t>
            </w: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自然辩证法概论</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第一外国语</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4</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体美劳综合素养概论</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sz w:val="24"/>
                <w:szCs w:val="24"/>
              </w:rPr>
              <w:t>1</w:t>
            </w:r>
          </w:p>
        </w:tc>
        <w:tc>
          <w:tcPr>
            <w:tcW w:w="622"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val="restar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专业必修课</w:t>
            </w:r>
          </w:p>
        </w:tc>
        <w:tc>
          <w:tcPr>
            <w:tcW w:w="2268"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sidRPr="006B14E3">
              <w:rPr>
                <w:rFonts w:hint="eastAsia"/>
                <w:sz w:val="24"/>
                <w:szCs w:val="24"/>
              </w:rPr>
              <w:t>论文写作与学术道德规范</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22" w:type="pct"/>
            <w:vMerge w:val="restar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11</w:t>
            </w:r>
          </w:p>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学科前沿专题课程</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碳水化合物基础科学</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b/>
                <w:bCs/>
                <w:sz w:val="24"/>
                <w:szCs w:val="24"/>
              </w:rPr>
            </w:pPr>
            <w:r w:rsidRPr="004641B0">
              <w:rPr>
                <w:rFonts w:hint="eastAsia"/>
                <w:sz w:val="24"/>
                <w:szCs w:val="24"/>
              </w:rPr>
              <w:t>现代仪器分析技术</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天然高分子材料</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胶体与界面化学</w:t>
            </w:r>
          </w:p>
        </w:tc>
        <w:tc>
          <w:tcPr>
            <w:tcW w:w="782"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专业选修课</w:t>
            </w:r>
          </w:p>
        </w:tc>
        <w:tc>
          <w:tcPr>
            <w:tcW w:w="2268" w:type="pct"/>
            <w:tcBorders>
              <w:top w:val="single" w:sz="4" w:space="0" w:color="auto"/>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植物纤维化学结构及分析方法</w:t>
            </w:r>
          </w:p>
        </w:tc>
        <w:tc>
          <w:tcPr>
            <w:tcW w:w="782"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不低于</w:t>
            </w:r>
            <w:r>
              <w:rPr>
                <w:sz w:val="24"/>
                <w:szCs w:val="24"/>
              </w:rPr>
              <w:t>10</w:t>
            </w: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专业英语</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制浆造纸分析检测技术</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纸页结构与性能</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制浆化学</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制浆造纸生物技术</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速生材制浆造纸性能</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纤维高效再利用新技术</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proofErr w:type="gramStart"/>
            <w:r w:rsidRPr="006B14E3">
              <w:rPr>
                <w:rFonts w:hint="eastAsia"/>
                <w:sz w:val="24"/>
                <w:szCs w:val="24"/>
              </w:rPr>
              <w:t>造纸湿部化学</w:t>
            </w:r>
            <w:proofErr w:type="gramEnd"/>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造纸纤维与填料改性技术</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特种纸与功能纸</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生物质化工与材料</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生物质精炼和资源化利用</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Pr="006B14E3" w:rsidRDefault="00BC1383">
            <w:pPr>
              <w:spacing w:line="240" w:lineRule="auto"/>
              <w:ind w:firstLineChars="0" w:firstLine="0"/>
              <w:jc w:val="center"/>
              <w:rPr>
                <w:sz w:val="24"/>
                <w:szCs w:val="24"/>
              </w:rPr>
            </w:pPr>
            <w:r w:rsidRPr="006B14E3">
              <w:rPr>
                <w:rFonts w:hint="eastAsia"/>
                <w:sz w:val="24"/>
                <w:szCs w:val="24"/>
              </w:rPr>
              <w:t>固体废弃物高效利用与资源化</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工业水处理技术</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22"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val="restart"/>
            <w:tcBorders>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必修环节</w:t>
            </w: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rFonts w:cs="宋体"/>
                <w:kern w:val="0"/>
                <w:sz w:val="24"/>
                <w:szCs w:val="24"/>
              </w:rPr>
            </w:pPr>
            <w:r>
              <w:rPr>
                <w:rFonts w:hint="eastAsia"/>
                <w:sz w:val="24"/>
                <w:szCs w:val="24"/>
              </w:rPr>
              <w:t>文献阅读与开题报告</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vMerge w:val="restar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22" w:type="pct"/>
            <w:vMerge w:val="restart"/>
            <w:tcBorders>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3</w:t>
            </w: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rFonts w:cs="宋体"/>
                <w:kern w:val="0"/>
                <w:sz w:val="24"/>
                <w:szCs w:val="24"/>
              </w:rPr>
            </w:pPr>
            <w:r>
              <w:rPr>
                <w:rFonts w:hint="eastAsia"/>
                <w:sz w:val="24"/>
                <w:szCs w:val="24"/>
              </w:rPr>
              <w:t>中期考核</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vMerge/>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rFonts w:cs="宋体"/>
                <w:kern w:val="0"/>
                <w:sz w:val="24"/>
                <w:szCs w:val="24"/>
              </w:rPr>
            </w:pPr>
            <w:r>
              <w:rPr>
                <w:rFonts w:hint="eastAsia"/>
                <w:sz w:val="24"/>
                <w:szCs w:val="24"/>
              </w:rPr>
              <w:t>实践活动</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22"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rFonts w:cs="宋体"/>
                <w:kern w:val="0"/>
                <w:sz w:val="24"/>
                <w:szCs w:val="24"/>
              </w:rPr>
            </w:pPr>
            <w:r>
              <w:rPr>
                <w:rFonts w:hint="eastAsia"/>
                <w:sz w:val="24"/>
                <w:szCs w:val="24"/>
              </w:rPr>
              <w:t>学术活动</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22"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补修课程</w:t>
            </w: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造纸植物资源化学</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22" w:type="pct"/>
            <w:vMerge w:val="restart"/>
            <w:tcBorders>
              <w:top w:val="nil"/>
              <w:left w:val="nil"/>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任选</w:t>
            </w:r>
            <w:r>
              <w:rPr>
                <w:rFonts w:hint="eastAsia"/>
                <w:sz w:val="24"/>
                <w:szCs w:val="24"/>
              </w:rPr>
              <w:t>2</w:t>
            </w:r>
            <w:r>
              <w:rPr>
                <w:rFonts w:hint="eastAsia"/>
                <w:sz w:val="24"/>
                <w:szCs w:val="24"/>
              </w:rPr>
              <w:t>门，不计学分</w:t>
            </w:r>
          </w:p>
        </w:tc>
      </w:tr>
      <w:tr w:rsidR="007C6B89">
        <w:trPr>
          <w:trHeight w:val="340"/>
          <w:jc w:val="center"/>
        </w:trPr>
        <w:tc>
          <w:tcPr>
            <w:tcW w:w="859"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sz w:val="24"/>
                <w:szCs w:val="24"/>
              </w:rPr>
              <w:t>制浆原理与工程</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22" w:type="pct"/>
            <w:vMerge/>
            <w:tcBorders>
              <w:left w:val="nil"/>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6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sz w:val="24"/>
                <w:szCs w:val="24"/>
              </w:rPr>
              <w:t>造纸原理与工程</w:t>
            </w:r>
          </w:p>
        </w:tc>
        <w:tc>
          <w:tcPr>
            <w:tcW w:w="78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6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22" w:type="pct"/>
            <w:vMerge/>
            <w:tcBorders>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59" w:type="pc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总学分</w:t>
            </w:r>
          </w:p>
        </w:tc>
        <w:tc>
          <w:tcPr>
            <w:tcW w:w="2268"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782"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469"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622"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不低于</w:t>
            </w:r>
            <w:r>
              <w:rPr>
                <w:sz w:val="24"/>
                <w:szCs w:val="24"/>
              </w:rPr>
              <w:t>3</w:t>
            </w:r>
            <w:r>
              <w:rPr>
                <w:rFonts w:hint="eastAsia"/>
                <w:sz w:val="24"/>
                <w:szCs w:val="24"/>
              </w:rPr>
              <w:t>2</w:t>
            </w:r>
          </w:p>
        </w:tc>
      </w:tr>
    </w:tbl>
    <w:p w:rsidR="007C6B89" w:rsidRDefault="00BC1383">
      <w:pPr>
        <w:ind w:firstLineChars="0" w:firstLine="0"/>
        <w:jc w:val="center"/>
        <w:rPr>
          <w:b/>
          <w:bCs/>
        </w:rPr>
      </w:pPr>
      <w:r>
        <w:rPr>
          <w:rFonts w:hint="eastAsia"/>
          <w:b/>
          <w:bCs/>
        </w:rPr>
        <w:t>适用于方向</w:t>
      </w:r>
      <w:r>
        <w:rPr>
          <w:b/>
          <w:bCs/>
        </w:rPr>
        <w:t>3</w:t>
      </w:r>
      <w:r>
        <w:rPr>
          <w:rFonts w:hint="eastAsia"/>
          <w:b/>
          <w:bCs/>
        </w:rPr>
        <w:t>的学术学位硕士研究生培养体系</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13"/>
        <w:gridCol w:w="4394"/>
        <w:gridCol w:w="1276"/>
        <w:gridCol w:w="992"/>
        <w:gridCol w:w="1119"/>
      </w:tblGrid>
      <w:tr w:rsidR="007C6B89">
        <w:trPr>
          <w:cantSplit/>
          <w:trHeight w:val="340"/>
          <w:jc w:val="center"/>
        </w:trPr>
        <w:tc>
          <w:tcPr>
            <w:tcW w:w="1413" w:type="dxa"/>
            <w:vAlign w:val="center"/>
          </w:tcPr>
          <w:p w:rsidR="007C6B89" w:rsidRDefault="00BC1383">
            <w:pPr>
              <w:spacing w:line="240" w:lineRule="auto"/>
              <w:ind w:firstLineChars="0" w:firstLine="0"/>
              <w:jc w:val="center"/>
              <w:rPr>
                <w:rFonts w:ascii="黑体" w:eastAsia="黑体" w:hAnsi="黑体"/>
                <w:snapToGrid w:val="0"/>
              </w:rPr>
            </w:pPr>
            <w:r>
              <w:rPr>
                <w:rFonts w:ascii="黑体" w:eastAsia="黑体" w:hAnsi="黑体" w:hint="eastAsia"/>
                <w:snapToGrid w:val="0"/>
              </w:rPr>
              <w:lastRenderedPageBreak/>
              <w:t>课程类别</w:t>
            </w:r>
          </w:p>
        </w:tc>
        <w:tc>
          <w:tcPr>
            <w:tcW w:w="4394" w:type="dxa"/>
            <w:vAlign w:val="center"/>
          </w:tcPr>
          <w:p w:rsidR="007C6B89" w:rsidRDefault="00BC1383">
            <w:pPr>
              <w:spacing w:line="240" w:lineRule="auto"/>
              <w:ind w:firstLineChars="0" w:firstLine="0"/>
              <w:jc w:val="center"/>
              <w:rPr>
                <w:rFonts w:ascii="黑体" w:eastAsia="黑体" w:hAnsi="黑体"/>
                <w:snapToGrid w:val="0"/>
              </w:rPr>
            </w:pPr>
            <w:r>
              <w:rPr>
                <w:rFonts w:ascii="黑体" w:eastAsia="黑体" w:hAnsi="黑体" w:hint="eastAsia"/>
                <w:snapToGrid w:val="0"/>
              </w:rPr>
              <w:t>课程设置</w:t>
            </w:r>
          </w:p>
        </w:tc>
        <w:tc>
          <w:tcPr>
            <w:tcW w:w="1276" w:type="dxa"/>
            <w:vAlign w:val="center"/>
          </w:tcPr>
          <w:p w:rsidR="007C6B89" w:rsidRDefault="00BC1383">
            <w:pPr>
              <w:spacing w:line="240" w:lineRule="auto"/>
              <w:ind w:firstLineChars="0" w:firstLine="0"/>
              <w:jc w:val="center"/>
              <w:rPr>
                <w:rFonts w:ascii="黑体" w:eastAsia="黑体" w:hAnsi="黑体"/>
                <w:snapToGrid w:val="0"/>
              </w:rPr>
            </w:pPr>
            <w:r>
              <w:rPr>
                <w:rFonts w:ascii="黑体" w:eastAsia="黑体" w:hAnsi="黑体" w:hint="eastAsia"/>
                <w:snapToGrid w:val="0"/>
              </w:rPr>
              <w:t>课程要求</w:t>
            </w:r>
          </w:p>
        </w:tc>
        <w:tc>
          <w:tcPr>
            <w:tcW w:w="992" w:type="dxa"/>
            <w:vAlign w:val="center"/>
          </w:tcPr>
          <w:p w:rsidR="007C6B89" w:rsidRDefault="00BC1383">
            <w:pPr>
              <w:spacing w:line="240" w:lineRule="auto"/>
              <w:ind w:firstLineChars="0" w:firstLine="0"/>
              <w:jc w:val="center"/>
              <w:rPr>
                <w:rFonts w:ascii="黑体" w:eastAsia="黑体" w:hAnsi="黑体"/>
                <w:snapToGrid w:val="0"/>
              </w:rPr>
            </w:pPr>
            <w:r>
              <w:rPr>
                <w:rFonts w:ascii="黑体" w:eastAsia="黑体" w:hAnsi="黑体" w:hint="eastAsia"/>
                <w:snapToGrid w:val="0"/>
              </w:rPr>
              <w:t>学分</w:t>
            </w:r>
          </w:p>
        </w:tc>
        <w:tc>
          <w:tcPr>
            <w:tcW w:w="1119" w:type="dxa"/>
            <w:vAlign w:val="center"/>
          </w:tcPr>
          <w:p w:rsidR="007C6B89" w:rsidRDefault="00BC1383">
            <w:pPr>
              <w:spacing w:line="240" w:lineRule="auto"/>
              <w:ind w:firstLineChars="0" w:firstLine="0"/>
              <w:jc w:val="center"/>
              <w:rPr>
                <w:rFonts w:ascii="黑体" w:eastAsia="黑体" w:hAnsi="黑体"/>
                <w:snapToGrid w:val="0"/>
              </w:rPr>
            </w:pPr>
            <w:r>
              <w:rPr>
                <w:rFonts w:ascii="黑体" w:eastAsia="黑体" w:hAnsi="黑体" w:hint="eastAsia"/>
                <w:snapToGrid w:val="0"/>
              </w:rPr>
              <w:t>总学分</w:t>
            </w:r>
          </w:p>
        </w:tc>
      </w:tr>
      <w:tr w:rsidR="007C6B89">
        <w:trPr>
          <w:cantSplit/>
          <w:trHeight w:val="340"/>
          <w:jc w:val="center"/>
        </w:trPr>
        <w:tc>
          <w:tcPr>
            <w:tcW w:w="1413"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公共必修</w:t>
            </w:r>
            <w:r>
              <w:rPr>
                <w:snapToGrid w:val="0"/>
                <w:sz w:val="24"/>
                <w:szCs w:val="24"/>
              </w:rPr>
              <w:t>课</w:t>
            </w:r>
          </w:p>
        </w:tc>
        <w:tc>
          <w:tcPr>
            <w:tcW w:w="4394"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第一外国语</w:t>
            </w:r>
          </w:p>
        </w:tc>
        <w:tc>
          <w:tcPr>
            <w:tcW w:w="1276" w:type="dxa"/>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992" w:type="dxa"/>
            <w:vAlign w:val="center"/>
          </w:tcPr>
          <w:p w:rsidR="007C6B89" w:rsidRDefault="00BC1383">
            <w:pPr>
              <w:spacing w:line="240" w:lineRule="auto"/>
              <w:ind w:firstLineChars="0" w:firstLine="0"/>
              <w:jc w:val="center"/>
              <w:rPr>
                <w:sz w:val="24"/>
                <w:szCs w:val="24"/>
              </w:rPr>
            </w:pPr>
            <w:r>
              <w:rPr>
                <w:rFonts w:hint="eastAsia"/>
                <w:sz w:val="24"/>
                <w:szCs w:val="24"/>
              </w:rPr>
              <w:t>4</w:t>
            </w:r>
          </w:p>
        </w:tc>
        <w:tc>
          <w:tcPr>
            <w:tcW w:w="1119"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8</w:t>
            </w: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pStyle w:val="10"/>
              <w:spacing w:line="240" w:lineRule="auto"/>
              <w:ind w:firstLineChars="0" w:firstLine="0"/>
              <w:jc w:val="center"/>
              <w:rPr>
                <w:rFonts w:hAnsi="Times New Roman"/>
                <w:sz w:val="24"/>
                <w:szCs w:val="24"/>
              </w:rPr>
            </w:pPr>
            <w:r>
              <w:rPr>
                <w:rFonts w:hint="eastAsia"/>
                <w:sz w:val="24"/>
                <w:szCs w:val="24"/>
              </w:rPr>
              <w:t>新时代中国特色社会主义理论与实践</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自然辩证法概论</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vAlign w:val="center"/>
          </w:tcPr>
          <w:p w:rsidR="007C6B89" w:rsidRDefault="00BC1383">
            <w:pPr>
              <w:spacing w:line="240" w:lineRule="auto"/>
              <w:ind w:firstLineChars="0" w:firstLine="0"/>
              <w:jc w:val="center"/>
              <w:rPr>
                <w:sz w:val="24"/>
                <w:szCs w:val="24"/>
              </w:rPr>
            </w:pPr>
            <w:r>
              <w:rPr>
                <w:sz w:val="24"/>
                <w:szCs w:val="24"/>
              </w:rPr>
              <w:t>1</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体美劳综合素养概论</w:t>
            </w:r>
          </w:p>
        </w:tc>
        <w:tc>
          <w:tcPr>
            <w:tcW w:w="1276"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必修</w:t>
            </w:r>
          </w:p>
        </w:tc>
        <w:tc>
          <w:tcPr>
            <w:tcW w:w="992" w:type="dxa"/>
            <w:vAlign w:val="center"/>
          </w:tcPr>
          <w:p w:rsidR="007C6B89" w:rsidRDefault="00BC1383">
            <w:pPr>
              <w:spacing w:line="240" w:lineRule="auto"/>
              <w:ind w:firstLineChars="0" w:firstLine="0"/>
              <w:jc w:val="center"/>
              <w:rPr>
                <w:sz w:val="24"/>
                <w:szCs w:val="24"/>
              </w:rPr>
            </w:pPr>
            <w:r>
              <w:rPr>
                <w:sz w:val="24"/>
                <w:szCs w:val="24"/>
              </w:rPr>
              <w:t>1</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专业必修课</w:t>
            </w:r>
          </w:p>
        </w:tc>
        <w:tc>
          <w:tcPr>
            <w:tcW w:w="4394" w:type="dxa"/>
            <w:vAlign w:val="center"/>
          </w:tcPr>
          <w:p w:rsidR="007C6B89" w:rsidRDefault="00BC1383">
            <w:pPr>
              <w:pStyle w:val="10"/>
              <w:spacing w:line="240" w:lineRule="auto"/>
              <w:ind w:firstLineChars="0" w:firstLine="0"/>
              <w:jc w:val="center"/>
              <w:rPr>
                <w:sz w:val="24"/>
                <w:szCs w:val="24"/>
              </w:rPr>
            </w:pPr>
            <w:r>
              <w:rPr>
                <w:rFonts w:hint="eastAsia"/>
                <w:sz w:val="24"/>
                <w:szCs w:val="24"/>
              </w:rPr>
              <w:t>论文</w:t>
            </w:r>
            <w:r>
              <w:rPr>
                <w:sz w:val="24"/>
                <w:szCs w:val="24"/>
              </w:rPr>
              <w:t>写作与学术道德规范</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vAlign w:val="center"/>
          </w:tcPr>
          <w:p w:rsidR="007C6B89" w:rsidRDefault="00BC1383">
            <w:pPr>
              <w:spacing w:line="240" w:lineRule="auto"/>
              <w:ind w:firstLineChars="0" w:firstLine="0"/>
              <w:jc w:val="center"/>
              <w:rPr>
                <w:sz w:val="24"/>
                <w:szCs w:val="24"/>
              </w:rPr>
            </w:pPr>
            <w:r>
              <w:rPr>
                <w:sz w:val="24"/>
                <w:szCs w:val="24"/>
              </w:rPr>
              <w:t>1</w:t>
            </w:r>
          </w:p>
        </w:tc>
        <w:tc>
          <w:tcPr>
            <w:tcW w:w="1119"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11</w:t>
            </w: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学科前沿专题课程</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必修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napToGrid w:val="0"/>
                <w:sz w:val="24"/>
                <w:szCs w:val="24"/>
              </w:rPr>
            </w:pPr>
            <w:r w:rsidRPr="004641B0">
              <w:rPr>
                <w:snapToGrid w:val="0"/>
                <w:sz w:val="24"/>
                <w:szCs w:val="24"/>
              </w:rPr>
              <w:t>现代分析</w:t>
            </w:r>
            <w:r w:rsidRPr="004641B0">
              <w:rPr>
                <w:rFonts w:hint="eastAsia"/>
                <w:snapToGrid w:val="0"/>
                <w:sz w:val="24"/>
                <w:szCs w:val="24"/>
              </w:rPr>
              <w:t>方法与技术</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napToGrid w:val="0"/>
                <w:sz w:val="24"/>
                <w:szCs w:val="24"/>
              </w:rPr>
            </w:pPr>
            <w:r w:rsidRPr="004641B0">
              <w:rPr>
                <w:snapToGrid w:val="0"/>
                <w:sz w:val="24"/>
                <w:szCs w:val="24"/>
              </w:rPr>
              <w:t>新型制革技术与绿色制革工程</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napToGrid w:val="0"/>
                <w:sz w:val="24"/>
                <w:szCs w:val="24"/>
              </w:rPr>
            </w:pPr>
            <w:bookmarkStart w:id="1" w:name="OLE_LINK1"/>
            <w:r w:rsidRPr="004641B0">
              <w:rPr>
                <w:sz w:val="24"/>
                <w:szCs w:val="24"/>
              </w:rPr>
              <w:t>高分子化学</w:t>
            </w:r>
            <w:bookmarkEnd w:id="1"/>
            <w:r w:rsidRPr="004641B0">
              <w:rPr>
                <w:sz w:val="24"/>
                <w:szCs w:val="24"/>
              </w:rPr>
              <w:t>进展</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必修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snapToGrid w:val="0"/>
                <w:sz w:val="24"/>
                <w:szCs w:val="24"/>
              </w:rPr>
              <w:t>胶体与界面化学</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必修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专业选修课</w:t>
            </w: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天然高分子材料</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restart"/>
            <w:vAlign w:val="center"/>
          </w:tcPr>
          <w:p w:rsidR="007C6B89" w:rsidRDefault="00BC1383">
            <w:pPr>
              <w:spacing w:line="240" w:lineRule="auto"/>
              <w:ind w:firstLineChars="0" w:firstLine="0"/>
              <w:jc w:val="center"/>
              <w:rPr>
                <w:snapToGrid w:val="0"/>
                <w:sz w:val="24"/>
                <w:szCs w:val="24"/>
              </w:rPr>
            </w:pPr>
            <w:r>
              <w:rPr>
                <w:snapToGrid w:val="0"/>
                <w:sz w:val="24"/>
                <w:szCs w:val="24"/>
              </w:rPr>
              <w:t>不低于</w:t>
            </w:r>
            <w:r>
              <w:rPr>
                <w:snapToGrid w:val="0"/>
                <w:sz w:val="24"/>
                <w:szCs w:val="24"/>
              </w:rPr>
              <w:t>10</w:t>
            </w:r>
            <w:r>
              <w:rPr>
                <w:snapToGrid w:val="0"/>
                <w:sz w:val="24"/>
                <w:szCs w:val="24"/>
              </w:rPr>
              <w:t>学分</w:t>
            </w: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蛋白质化学</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聚合物结构与性能</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皮革化工材料结构与性能</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生物无机化学</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z w:val="24"/>
                <w:szCs w:val="24"/>
              </w:rPr>
              <w:t>网络文献检索与文献管理</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高分子膜材料</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化学实验设计优化方法</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科技论文绘图</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胶原蛋白新材料</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蛋白质分离分析实验</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合成革化学品</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分子模拟</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水性大分子材料</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专业英语（皮革方向）</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tcBorders>
              <w:bottom w:val="single" w:sz="4" w:space="0" w:color="auto"/>
            </w:tcBorders>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pacing w:val="-10"/>
                <w:sz w:val="24"/>
                <w:szCs w:val="24"/>
              </w:rPr>
            </w:pPr>
            <w:r>
              <w:rPr>
                <w:snapToGrid w:val="0"/>
                <w:sz w:val="24"/>
                <w:szCs w:val="24"/>
              </w:rPr>
              <w:t>第二外国语（日或德）</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选修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1119" w:type="dxa"/>
            <w:vMerge/>
            <w:tcBorders>
              <w:bottom w:val="single" w:sz="4" w:space="0" w:color="auto"/>
            </w:tcBorders>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restart"/>
            <w:vAlign w:val="center"/>
          </w:tcPr>
          <w:p w:rsidR="007C6B89" w:rsidRDefault="00BC1383">
            <w:pPr>
              <w:spacing w:line="240" w:lineRule="auto"/>
              <w:ind w:firstLineChars="0" w:firstLine="0"/>
              <w:jc w:val="center"/>
              <w:rPr>
                <w:snapToGrid w:val="0"/>
                <w:sz w:val="24"/>
                <w:szCs w:val="24"/>
              </w:rPr>
            </w:pPr>
            <w:r>
              <w:rPr>
                <w:rFonts w:hint="eastAsia"/>
                <w:sz w:val="24"/>
                <w:szCs w:val="24"/>
              </w:rPr>
              <w:t>必修环节</w:t>
            </w:r>
          </w:p>
        </w:tc>
        <w:tc>
          <w:tcPr>
            <w:tcW w:w="4394" w:type="dxa"/>
            <w:vAlign w:val="center"/>
          </w:tcPr>
          <w:p w:rsidR="007C6B89" w:rsidRDefault="00BC1383">
            <w:pPr>
              <w:spacing w:line="240" w:lineRule="auto"/>
              <w:ind w:firstLineChars="0" w:firstLine="0"/>
              <w:jc w:val="center"/>
              <w:rPr>
                <w:snapToGrid w:val="0"/>
                <w:kern w:val="0"/>
                <w:sz w:val="24"/>
                <w:szCs w:val="24"/>
              </w:rPr>
            </w:pPr>
            <w:r>
              <w:rPr>
                <w:rFonts w:hint="eastAsia"/>
                <w:sz w:val="24"/>
                <w:szCs w:val="24"/>
              </w:rPr>
              <w:t>文献阅读与开题报告</w:t>
            </w:r>
          </w:p>
        </w:tc>
        <w:tc>
          <w:tcPr>
            <w:tcW w:w="1276" w:type="dxa"/>
            <w:vAlign w:val="center"/>
          </w:tcPr>
          <w:p w:rsidR="007C6B89" w:rsidRDefault="00BC1383">
            <w:pPr>
              <w:spacing w:line="240" w:lineRule="auto"/>
              <w:ind w:firstLineChars="0" w:firstLine="0"/>
              <w:jc w:val="center"/>
              <w:rPr>
                <w:snapToGrid w:val="0"/>
                <w:sz w:val="24"/>
                <w:szCs w:val="24"/>
              </w:rPr>
            </w:pPr>
            <w:r>
              <w:rPr>
                <w:rFonts w:hint="eastAsia"/>
                <w:sz w:val="24"/>
                <w:szCs w:val="24"/>
              </w:rPr>
              <w:t>必修</w:t>
            </w:r>
          </w:p>
        </w:tc>
        <w:tc>
          <w:tcPr>
            <w:tcW w:w="992" w:type="dxa"/>
            <w:vMerge w:val="restart"/>
            <w:vAlign w:val="center"/>
          </w:tcPr>
          <w:p w:rsidR="007C6B89" w:rsidRDefault="00BC1383">
            <w:pPr>
              <w:spacing w:line="240" w:lineRule="auto"/>
              <w:ind w:firstLineChars="0" w:firstLine="0"/>
              <w:jc w:val="center"/>
              <w:rPr>
                <w:snapToGrid w:val="0"/>
                <w:sz w:val="24"/>
                <w:szCs w:val="24"/>
              </w:rPr>
            </w:pPr>
            <w:r>
              <w:rPr>
                <w:rFonts w:hint="eastAsia"/>
                <w:sz w:val="24"/>
                <w:szCs w:val="24"/>
              </w:rPr>
              <w:t>1</w:t>
            </w:r>
          </w:p>
        </w:tc>
        <w:tc>
          <w:tcPr>
            <w:tcW w:w="1119"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3</w:t>
            </w: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kern w:val="0"/>
                <w:sz w:val="24"/>
                <w:szCs w:val="24"/>
              </w:rPr>
            </w:pPr>
            <w:r>
              <w:rPr>
                <w:rFonts w:hint="eastAsia"/>
                <w:sz w:val="24"/>
                <w:szCs w:val="24"/>
              </w:rPr>
              <w:t>中期考核</w:t>
            </w:r>
          </w:p>
        </w:tc>
        <w:tc>
          <w:tcPr>
            <w:tcW w:w="1276" w:type="dxa"/>
            <w:vAlign w:val="center"/>
          </w:tcPr>
          <w:p w:rsidR="007C6B89" w:rsidRDefault="00BC1383">
            <w:pPr>
              <w:spacing w:line="240" w:lineRule="auto"/>
              <w:ind w:firstLineChars="0" w:firstLine="0"/>
              <w:jc w:val="center"/>
              <w:rPr>
                <w:snapToGrid w:val="0"/>
                <w:sz w:val="24"/>
                <w:szCs w:val="24"/>
              </w:rPr>
            </w:pPr>
            <w:r>
              <w:rPr>
                <w:rFonts w:hint="eastAsia"/>
                <w:sz w:val="24"/>
                <w:szCs w:val="24"/>
              </w:rPr>
              <w:t>必修</w:t>
            </w:r>
          </w:p>
        </w:tc>
        <w:tc>
          <w:tcPr>
            <w:tcW w:w="992" w:type="dxa"/>
            <w:vMerge/>
            <w:vAlign w:val="center"/>
          </w:tcPr>
          <w:p w:rsidR="007C6B89" w:rsidRDefault="007C6B89">
            <w:pPr>
              <w:spacing w:line="240" w:lineRule="auto"/>
              <w:ind w:firstLineChars="0" w:firstLine="0"/>
              <w:jc w:val="center"/>
              <w:rPr>
                <w:snapToGrid w:val="0"/>
                <w:sz w:val="24"/>
                <w:szCs w:val="24"/>
              </w:rPr>
            </w:pP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kern w:val="0"/>
                <w:sz w:val="24"/>
                <w:szCs w:val="24"/>
              </w:rPr>
            </w:pPr>
            <w:r>
              <w:rPr>
                <w:rFonts w:hint="eastAsia"/>
                <w:sz w:val="24"/>
                <w:szCs w:val="24"/>
              </w:rPr>
              <w:t>实践活动</w:t>
            </w:r>
          </w:p>
        </w:tc>
        <w:tc>
          <w:tcPr>
            <w:tcW w:w="1276" w:type="dxa"/>
            <w:vAlign w:val="center"/>
          </w:tcPr>
          <w:p w:rsidR="007C6B89" w:rsidRDefault="00BC1383">
            <w:pPr>
              <w:spacing w:line="240" w:lineRule="auto"/>
              <w:ind w:firstLineChars="0" w:firstLine="0"/>
              <w:jc w:val="center"/>
              <w:rPr>
                <w:snapToGrid w:val="0"/>
                <w:sz w:val="24"/>
                <w:szCs w:val="24"/>
              </w:rPr>
            </w:pPr>
            <w:r>
              <w:rPr>
                <w:rFonts w:hint="eastAsia"/>
                <w:sz w:val="24"/>
                <w:szCs w:val="24"/>
              </w:rPr>
              <w:t>必修</w:t>
            </w:r>
          </w:p>
        </w:tc>
        <w:tc>
          <w:tcPr>
            <w:tcW w:w="992" w:type="dxa"/>
            <w:vAlign w:val="center"/>
          </w:tcPr>
          <w:p w:rsidR="007C6B89" w:rsidRDefault="00BC1383">
            <w:pPr>
              <w:spacing w:line="240" w:lineRule="auto"/>
              <w:ind w:firstLineChars="0" w:firstLine="0"/>
              <w:jc w:val="center"/>
              <w:rPr>
                <w:snapToGrid w:val="0"/>
                <w:sz w:val="24"/>
                <w:szCs w:val="24"/>
              </w:rPr>
            </w:pPr>
            <w:r>
              <w:rPr>
                <w:rFonts w:hint="eastAsia"/>
                <w:sz w:val="24"/>
                <w:szCs w:val="24"/>
              </w:rPr>
              <w:t>1</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kern w:val="0"/>
                <w:sz w:val="24"/>
                <w:szCs w:val="24"/>
              </w:rPr>
            </w:pPr>
            <w:r>
              <w:rPr>
                <w:rFonts w:hint="eastAsia"/>
                <w:sz w:val="24"/>
                <w:szCs w:val="24"/>
              </w:rPr>
              <w:t>学术活动</w:t>
            </w:r>
          </w:p>
        </w:tc>
        <w:tc>
          <w:tcPr>
            <w:tcW w:w="1276" w:type="dxa"/>
            <w:vAlign w:val="center"/>
          </w:tcPr>
          <w:p w:rsidR="007C6B89" w:rsidRDefault="00BC1383">
            <w:pPr>
              <w:spacing w:line="240" w:lineRule="auto"/>
              <w:ind w:firstLineChars="0" w:firstLine="0"/>
              <w:jc w:val="center"/>
              <w:rPr>
                <w:snapToGrid w:val="0"/>
                <w:sz w:val="24"/>
                <w:szCs w:val="24"/>
              </w:rPr>
            </w:pPr>
            <w:r>
              <w:rPr>
                <w:rFonts w:hint="eastAsia"/>
                <w:sz w:val="24"/>
                <w:szCs w:val="24"/>
              </w:rPr>
              <w:t>必修</w:t>
            </w:r>
          </w:p>
        </w:tc>
        <w:tc>
          <w:tcPr>
            <w:tcW w:w="992" w:type="dxa"/>
            <w:vAlign w:val="center"/>
          </w:tcPr>
          <w:p w:rsidR="007C6B89" w:rsidRDefault="00BC1383">
            <w:pPr>
              <w:spacing w:line="240" w:lineRule="auto"/>
              <w:ind w:firstLineChars="0" w:firstLine="0"/>
              <w:jc w:val="center"/>
              <w:rPr>
                <w:snapToGrid w:val="0"/>
                <w:sz w:val="24"/>
                <w:szCs w:val="24"/>
              </w:rPr>
            </w:pPr>
            <w:r>
              <w:rPr>
                <w:rFonts w:hint="eastAsia"/>
                <w:sz w:val="24"/>
                <w:szCs w:val="24"/>
              </w:rPr>
              <w:t>1</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restart"/>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补修课程</w:t>
            </w:r>
          </w:p>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皮革鞣制化学与工艺</w:t>
            </w:r>
          </w:p>
        </w:tc>
        <w:tc>
          <w:tcPr>
            <w:tcW w:w="1276"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napToGrid w:val="0"/>
                <w:sz w:val="24"/>
                <w:szCs w:val="24"/>
              </w:rPr>
              <w:t>补修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0</w:t>
            </w:r>
          </w:p>
        </w:tc>
        <w:tc>
          <w:tcPr>
            <w:tcW w:w="1119" w:type="dxa"/>
            <w:vMerge w:val="restart"/>
            <w:vAlign w:val="center"/>
          </w:tcPr>
          <w:p w:rsidR="007C6B89" w:rsidRDefault="00BC1383">
            <w:pPr>
              <w:spacing w:line="240" w:lineRule="auto"/>
              <w:ind w:firstLineChars="0" w:firstLine="0"/>
              <w:jc w:val="center"/>
              <w:rPr>
                <w:snapToGrid w:val="0"/>
                <w:sz w:val="24"/>
                <w:szCs w:val="24"/>
              </w:rPr>
            </w:pPr>
            <w:r>
              <w:rPr>
                <w:snapToGrid w:val="0"/>
                <w:sz w:val="24"/>
                <w:szCs w:val="24"/>
              </w:rPr>
              <w:t>任选</w:t>
            </w:r>
            <w:r>
              <w:rPr>
                <w:snapToGrid w:val="0"/>
                <w:sz w:val="24"/>
                <w:szCs w:val="24"/>
              </w:rPr>
              <w:t>2</w:t>
            </w:r>
            <w:r>
              <w:rPr>
                <w:snapToGrid w:val="0"/>
                <w:sz w:val="24"/>
                <w:szCs w:val="24"/>
              </w:rPr>
              <w:t>门</w:t>
            </w:r>
            <w:r>
              <w:rPr>
                <w:rFonts w:hint="eastAsia"/>
                <w:snapToGrid w:val="0"/>
                <w:sz w:val="24"/>
                <w:szCs w:val="24"/>
              </w:rPr>
              <w:t>，</w:t>
            </w:r>
            <w:r>
              <w:rPr>
                <w:snapToGrid w:val="0"/>
                <w:sz w:val="24"/>
                <w:szCs w:val="24"/>
              </w:rPr>
              <w:t>不计学分</w:t>
            </w: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皮革</w:t>
            </w:r>
            <w:proofErr w:type="gramStart"/>
            <w:r>
              <w:rPr>
                <w:snapToGrid w:val="0"/>
                <w:sz w:val="24"/>
                <w:szCs w:val="24"/>
              </w:rPr>
              <w:t>整饰</w:t>
            </w:r>
            <w:proofErr w:type="gramEnd"/>
            <w:r>
              <w:rPr>
                <w:snapToGrid w:val="0"/>
                <w:sz w:val="24"/>
                <w:szCs w:val="24"/>
              </w:rPr>
              <w:t>化学与工艺</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补修</w:t>
            </w:r>
          </w:p>
        </w:tc>
        <w:tc>
          <w:tcPr>
            <w:tcW w:w="992"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0</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vAlign w:val="center"/>
          </w:tcPr>
          <w:p w:rsidR="007C6B89" w:rsidRDefault="00BC1383">
            <w:pPr>
              <w:spacing w:line="240" w:lineRule="auto"/>
              <w:ind w:firstLineChars="0" w:firstLine="0"/>
              <w:jc w:val="center"/>
              <w:rPr>
                <w:snapToGrid w:val="0"/>
                <w:sz w:val="24"/>
                <w:szCs w:val="24"/>
              </w:rPr>
            </w:pPr>
            <w:r>
              <w:rPr>
                <w:snapToGrid w:val="0"/>
                <w:sz w:val="24"/>
                <w:szCs w:val="24"/>
              </w:rPr>
              <w:t>皮革化工材料学</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补修</w:t>
            </w:r>
          </w:p>
        </w:tc>
        <w:tc>
          <w:tcPr>
            <w:tcW w:w="992"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0</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合成革工艺学</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补修</w:t>
            </w:r>
          </w:p>
        </w:tc>
        <w:tc>
          <w:tcPr>
            <w:tcW w:w="992"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0</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Merge/>
            <w:vAlign w:val="center"/>
          </w:tcPr>
          <w:p w:rsidR="007C6B89" w:rsidRDefault="007C6B89">
            <w:pPr>
              <w:spacing w:line="240" w:lineRule="auto"/>
              <w:ind w:firstLineChars="0" w:firstLine="0"/>
              <w:jc w:val="center"/>
              <w:rPr>
                <w:snapToGrid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napToGrid w:val="0"/>
                <w:sz w:val="24"/>
                <w:szCs w:val="24"/>
              </w:rPr>
            </w:pPr>
            <w:r>
              <w:rPr>
                <w:snapToGrid w:val="0"/>
                <w:sz w:val="24"/>
                <w:szCs w:val="24"/>
              </w:rPr>
              <w:t>合成革材料化学</w:t>
            </w:r>
          </w:p>
        </w:tc>
        <w:tc>
          <w:tcPr>
            <w:tcW w:w="1276" w:type="dxa"/>
            <w:vAlign w:val="center"/>
          </w:tcPr>
          <w:p w:rsidR="007C6B89" w:rsidRDefault="00BC1383">
            <w:pPr>
              <w:spacing w:line="240" w:lineRule="auto"/>
              <w:ind w:firstLineChars="0" w:firstLine="0"/>
              <w:jc w:val="center"/>
              <w:rPr>
                <w:sz w:val="24"/>
                <w:szCs w:val="24"/>
              </w:rPr>
            </w:pPr>
            <w:r>
              <w:rPr>
                <w:rFonts w:hint="eastAsia"/>
                <w:snapToGrid w:val="0"/>
                <w:sz w:val="24"/>
                <w:szCs w:val="24"/>
              </w:rPr>
              <w:t>补修</w:t>
            </w:r>
          </w:p>
        </w:tc>
        <w:tc>
          <w:tcPr>
            <w:tcW w:w="992"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0</w:t>
            </w:r>
          </w:p>
        </w:tc>
        <w:tc>
          <w:tcPr>
            <w:tcW w:w="1119" w:type="dxa"/>
            <w:vMerge/>
            <w:vAlign w:val="center"/>
          </w:tcPr>
          <w:p w:rsidR="007C6B89" w:rsidRDefault="007C6B89">
            <w:pPr>
              <w:spacing w:line="240" w:lineRule="auto"/>
              <w:ind w:firstLineChars="0" w:firstLine="0"/>
              <w:jc w:val="center"/>
              <w:rPr>
                <w:snapToGrid w:val="0"/>
                <w:sz w:val="24"/>
                <w:szCs w:val="24"/>
              </w:rPr>
            </w:pPr>
          </w:p>
        </w:tc>
      </w:tr>
      <w:tr w:rsidR="007C6B89">
        <w:trPr>
          <w:cantSplit/>
          <w:trHeight w:val="340"/>
          <w:jc w:val="center"/>
        </w:trPr>
        <w:tc>
          <w:tcPr>
            <w:tcW w:w="1413"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总学分</w:t>
            </w:r>
          </w:p>
        </w:tc>
        <w:tc>
          <w:tcPr>
            <w:tcW w:w="4394" w:type="dxa"/>
            <w:vAlign w:val="center"/>
          </w:tcPr>
          <w:p w:rsidR="007C6B89" w:rsidRDefault="007C6B89">
            <w:pPr>
              <w:spacing w:line="240" w:lineRule="auto"/>
              <w:ind w:firstLineChars="0" w:firstLine="0"/>
              <w:jc w:val="center"/>
              <w:rPr>
                <w:snapToGrid w:val="0"/>
                <w:sz w:val="24"/>
                <w:szCs w:val="24"/>
              </w:rPr>
            </w:pPr>
          </w:p>
        </w:tc>
        <w:tc>
          <w:tcPr>
            <w:tcW w:w="1276" w:type="dxa"/>
            <w:vAlign w:val="center"/>
          </w:tcPr>
          <w:p w:rsidR="007C6B89" w:rsidRDefault="007C6B89">
            <w:pPr>
              <w:spacing w:line="240" w:lineRule="auto"/>
              <w:ind w:firstLineChars="0" w:firstLine="0"/>
              <w:jc w:val="center"/>
              <w:rPr>
                <w:snapToGrid w:val="0"/>
                <w:sz w:val="24"/>
                <w:szCs w:val="24"/>
              </w:rPr>
            </w:pPr>
          </w:p>
        </w:tc>
        <w:tc>
          <w:tcPr>
            <w:tcW w:w="992" w:type="dxa"/>
            <w:vAlign w:val="center"/>
          </w:tcPr>
          <w:p w:rsidR="007C6B89" w:rsidRDefault="007C6B89">
            <w:pPr>
              <w:spacing w:line="240" w:lineRule="auto"/>
              <w:ind w:firstLineChars="0" w:firstLine="0"/>
              <w:jc w:val="center"/>
              <w:rPr>
                <w:snapToGrid w:val="0"/>
                <w:sz w:val="24"/>
                <w:szCs w:val="24"/>
              </w:rPr>
            </w:pPr>
          </w:p>
        </w:tc>
        <w:tc>
          <w:tcPr>
            <w:tcW w:w="1119" w:type="dxa"/>
            <w:vAlign w:val="center"/>
          </w:tcPr>
          <w:p w:rsidR="007C6B89" w:rsidRDefault="00BC1383">
            <w:pPr>
              <w:spacing w:line="240" w:lineRule="auto"/>
              <w:ind w:firstLineChars="0" w:firstLine="0"/>
              <w:jc w:val="center"/>
              <w:rPr>
                <w:snapToGrid w:val="0"/>
                <w:sz w:val="24"/>
                <w:szCs w:val="24"/>
              </w:rPr>
            </w:pPr>
            <w:r>
              <w:rPr>
                <w:rFonts w:hint="eastAsia"/>
                <w:snapToGrid w:val="0"/>
                <w:sz w:val="24"/>
                <w:szCs w:val="24"/>
              </w:rPr>
              <w:t>不低于</w:t>
            </w:r>
            <w:r>
              <w:rPr>
                <w:rFonts w:hint="eastAsia"/>
                <w:snapToGrid w:val="0"/>
                <w:sz w:val="24"/>
                <w:szCs w:val="24"/>
              </w:rPr>
              <w:t>32</w:t>
            </w:r>
          </w:p>
        </w:tc>
      </w:tr>
    </w:tbl>
    <w:p w:rsidR="007C6B89" w:rsidRDefault="00BC1383">
      <w:pPr>
        <w:ind w:firstLineChars="0" w:firstLine="0"/>
        <w:jc w:val="center"/>
        <w:rPr>
          <w:b/>
          <w:bCs/>
        </w:rPr>
      </w:pPr>
      <w:r>
        <w:rPr>
          <w:rFonts w:hint="eastAsia"/>
          <w:b/>
          <w:bCs/>
        </w:rPr>
        <w:lastRenderedPageBreak/>
        <w:t>适用于方向</w:t>
      </w:r>
      <w:r>
        <w:rPr>
          <w:b/>
          <w:bCs/>
        </w:rPr>
        <w:t>4</w:t>
      </w:r>
      <w:r>
        <w:rPr>
          <w:rFonts w:hint="eastAsia"/>
          <w:b/>
          <w:bCs/>
        </w:rPr>
        <w:t>的学术学位硕士研究生培养体系</w:t>
      </w:r>
    </w:p>
    <w:tbl>
      <w:tblPr>
        <w:tblW w:w="5000" w:type="pct"/>
        <w:jc w:val="center"/>
        <w:tblLook w:val="04A0" w:firstRow="1" w:lastRow="0" w:firstColumn="1" w:lastColumn="0" w:noHBand="0" w:noVBand="1"/>
      </w:tblPr>
      <w:tblGrid>
        <w:gridCol w:w="1578"/>
        <w:gridCol w:w="4088"/>
        <w:gridCol w:w="1375"/>
        <w:gridCol w:w="863"/>
        <w:gridCol w:w="1156"/>
      </w:tblGrid>
      <w:tr w:rsidR="007C6B89">
        <w:trPr>
          <w:trHeight w:val="340"/>
          <w:jc w:val="center"/>
        </w:trPr>
        <w:tc>
          <w:tcPr>
            <w:tcW w:w="871" w:type="pct"/>
            <w:tcBorders>
              <w:top w:val="single" w:sz="4" w:space="0" w:color="auto"/>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rPr>
            </w:pPr>
            <w:r>
              <w:rPr>
                <w:rFonts w:ascii="黑体" w:eastAsia="黑体" w:hAnsi="黑体" w:hint="eastAsia"/>
              </w:rPr>
              <w:t>课程类别</w:t>
            </w:r>
          </w:p>
        </w:tc>
        <w:tc>
          <w:tcPr>
            <w:tcW w:w="2256"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rPr>
            </w:pPr>
            <w:r>
              <w:rPr>
                <w:rFonts w:ascii="黑体" w:eastAsia="黑体" w:hAnsi="黑体" w:hint="eastAsia"/>
              </w:rPr>
              <w:t>课程设置</w:t>
            </w:r>
          </w:p>
        </w:tc>
        <w:tc>
          <w:tcPr>
            <w:tcW w:w="759"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rPr>
            </w:pPr>
            <w:r>
              <w:rPr>
                <w:rFonts w:ascii="黑体" w:eastAsia="黑体" w:hAnsi="黑体" w:hint="eastAsia"/>
              </w:rPr>
              <w:t>课程要求</w:t>
            </w:r>
          </w:p>
        </w:tc>
        <w:tc>
          <w:tcPr>
            <w:tcW w:w="476"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rPr>
            </w:pPr>
            <w:r>
              <w:rPr>
                <w:rFonts w:ascii="黑体" w:eastAsia="黑体" w:hAnsi="黑体" w:hint="eastAsia"/>
              </w:rPr>
              <w:t>学分</w:t>
            </w:r>
          </w:p>
        </w:tc>
        <w:tc>
          <w:tcPr>
            <w:tcW w:w="638" w:type="pct"/>
            <w:tcBorders>
              <w:top w:val="single" w:sz="4" w:space="0" w:color="auto"/>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黑体" w:eastAsia="黑体" w:hAnsi="黑体"/>
              </w:rPr>
            </w:pPr>
            <w:r>
              <w:rPr>
                <w:rFonts w:ascii="黑体" w:eastAsia="黑体" w:hAnsi="黑体" w:hint="eastAsia"/>
              </w:rPr>
              <w:t>总学分</w:t>
            </w:r>
          </w:p>
        </w:tc>
      </w:tr>
      <w:tr w:rsidR="007C6B89">
        <w:trPr>
          <w:trHeight w:val="340"/>
          <w:jc w:val="center"/>
        </w:trPr>
        <w:tc>
          <w:tcPr>
            <w:tcW w:w="871"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公共必修课</w:t>
            </w: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新时代中国特色社会主义理论与实践</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8</w:t>
            </w: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自然辩证法概论</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第一外国语</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4</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rFonts w:ascii="宋体" w:hAnsi="宋体" w:cs="宋体"/>
                <w:kern w:val="0"/>
                <w:sz w:val="24"/>
                <w:szCs w:val="24"/>
              </w:rPr>
            </w:pPr>
            <w:r>
              <w:rPr>
                <w:rFonts w:hint="eastAsia"/>
                <w:sz w:val="24"/>
                <w:szCs w:val="24"/>
              </w:rPr>
              <w:t>体美劳综合素养概论</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val="restar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专业必修课</w:t>
            </w: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论文写作与学术道德规范</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val="restar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11</w:t>
            </w:r>
          </w:p>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学科前沿专题课程</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现代包装材料</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现代分析方法与技术</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现代颜色技术原理与应用</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印刷质量检测与控制技术</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top w:val="nil"/>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专业选修课</w:t>
            </w: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数字印刷原理</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val="restart"/>
            <w:tcBorders>
              <w:top w:val="nil"/>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不低于</w:t>
            </w:r>
            <w:r>
              <w:rPr>
                <w:sz w:val="24"/>
                <w:szCs w:val="24"/>
              </w:rPr>
              <w:t>10</w:t>
            </w: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专业英语</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统计分析方法</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智能包装与印刷技术与装备</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特种</w:t>
            </w:r>
            <w:proofErr w:type="gramStart"/>
            <w:r>
              <w:rPr>
                <w:rFonts w:hint="eastAsia"/>
                <w:sz w:val="24"/>
                <w:szCs w:val="24"/>
              </w:rPr>
              <w:t>纸结构</w:t>
            </w:r>
            <w:proofErr w:type="gramEnd"/>
            <w:r>
              <w:rPr>
                <w:rFonts w:hint="eastAsia"/>
                <w:sz w:val="24"/>
                <w:szCs w:val="24"/>
              </w:rPr>
              <w:t>与性能</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数值计算与最优化方法</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图像处理与机器视觉</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Pr="004641B0" w:rsidRDefault="00BC1383">
            <w:pPr>
              <w:spacing w:line="240" w:lineRule="auto"/>
              <w:ind w:firstLineChars="0" w:firstLine="0"/>
              <w:jc w:val="center"/>
              <w:rPr>
                <w:sz w:val="24"/>
                <w:szCs w:val="24"/>
              </w:rPr>
            </w:pPr>
            <w:r w:rsidRPr="004641B0">
              <w:rPr>
                <w:rFonts w:hint="eastAsia"/>
                <w:sz w:val="24"/>
                <w:szCs w:val="24"/>
              </w:rPr>
              <w:t>虚拟现实技术</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大数据技术与应用</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新媒体技术与传播</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第二外语（日或德）</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选修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2</w:t>
            </w:r>
          </w:p>
        </w:tc>
        <w:tc>
          <w:tcPr>
            <w:tcW w:w="638"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val="restart"/>
            <w:tcBorders>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必修环节</w:t>
            </w: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文献阅读与开题报告</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vMerge w:val="restar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val="restart"/>
            <w:tcBorders>
              <w:left w:val="nil"/>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3</w:t>
            </w: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中期考核</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vMerge/>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638" w:type="pct"/>
            <w:vMerge/>
            <w:tcBorders>
              <w:left w:val="nil"/>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实践活动</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tcBorders>
              <w:left w:val="nil"/>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学术活动</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必修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1</w:t>
            </w:r>
          </w:p>
        </w:tc>
        <w:tc>
          <w:tcPr>
            <w:tcW w:w="638" w:type="pct"/>
            <w:vMerge/>
            <w:tcBorders>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val="restart"/>
            <w:tcBorders>
              <w:top w:val="single" w:sz="4" w:space="0" w:color="auto"/>
              <w:left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补修课程</w:t>
            </w:r>
          </w:p>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印刷原理与工艺</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补修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38" w:type="pct"/>
            <w:vMerge w:val="restart"/>
            <w:tcBorders>
              <w:top w:val="nil"/>
              <w:left w:val="nil"/>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任选</w:t>
            </w:r>
            <w:r>
              <w:rPr>
                <w:rFonts w:hint="eastAsia"/>
                <w:sz w:val="24"/>
                <w:szCs w:val="24"/>
              </w:rPr>
              <w:t>2</w:t>
            </w:r>
            <w:r>
              <w:rPr>
                <w:rFonts w:hint="eastAsia"/>
                <w:sz w:val="24"/>
                <w:szCs w:val="24"/>
              </w:rPr>
              <w:t>门，不计学分</w:t>
            </w:r>
          </w:p>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印刷设备与控制原理</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补修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38" w:type="pct"/>
            <w:vMerge/>
            <w:tcBorders>
              <w:left w:val="nil"/>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vMerge/>
            <w:tcBorders>
              <w:left w:val="single" w:sz="4" w:space="0" w:color="auto"/>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225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包装材料学</w:t>
            </w:r>
          </w:p>
        </w:tc>
        <w:tc>
          <w:tcPr>
            <w:tcW w:w="759"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补修</w:t>
            </w:r>
          </w:p>
        </w:tc>
        <w:tc>
          <w:tcPr>
            <w:tcW w:w="476"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0</w:t>
            </w:r>
          </w:p>
        </w:tc>
        <w:tc>
          <w:tcPr>
            <w:tcW w:w="638" w:type="pct"/>
            <w:vMerge/>
            <w:tcBorders>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r>
      <w:tr w:rsidR="007C6B89">
        <w:trPr>
          <w:trHeight w:val="340"/>
          <w:jc w:val="center"/>
        </w:trPr>
        <w:tc>
          <w:tcPr>
            <w:tcW w:w="871" w:type="pct"/>
            <w:tcBorders>
              <w:top w:val="nil"/>
              <w:left w:val="single" w:sz="4" w:space="0" w:color="auto"/>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总学分</w:t>
            </w:r>
          </w:p>
        </w:tc>
        <w:tc>
          <w:tcPr>
            <w:tcW w:w="2256"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759"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476" w:type="pct"/>
            <w:tcBorders>
              <w:top w:val="nil"/>
              <w:left w:val="nil"/>
              <w:bottom w:val="single" w:sz="4" w:space="0" w:color="auto"/>
              <w:right w:val="single" w:sz="4" w:space="0" w:color="auto"/>
            </w:tcBorders>
            <w:vAlign w:val="center"/>
          </w:tcPr>
          <w:p w:rsidR="007C6B89" w:rsidRDefault="007C6B89">
            <w:pPr>
              <w:spacing w:line="240" w:lineRule="auto"/>
              <w:ind w:firstLineChars="0" w:firstLine="0"/>
              <w:jc w:val="center"/>
              <w:rPr>
                <w:sz w:val="24"/>
                <w:szCs w:val="24"/>
              </w:rPr>
            </w:pPr>
          </w:p>
        </w:tc>
        <w:tc>
          <w:tcPr>
            <w:tcW w:w="638" w:type="pct"/>
            <w:tcBorders>
              <w:top w:val="nil"/>
              <w:left w:val="nil"/>
              <w:bottom w:val="single" w:sz="4" w:space="0" w:color="auto"/>
              <w:right w:val="single" w:sz="4" w:space="0" w:color="auto"/>
            </w:tcBorders>
            <w:vAlign w:val="center"/>
          </w:tcPr>
          <w:p w:rsidR="007C6B89" w:rsidRDefault="00BC1383">
            <w:pPr>
              <w:spacing w:line="240" w:lineRule="auto"/>
              <w:ind w:firstLineChars="0" w:firstLine="0"/>
              <w:jc w:val="center"/>
              <w:rPr>
                <w:sz w:val="24"/>
                <w:szCs w:val="24"/>
              </w:rPr>
            </w:pPr>
            <w:r>
              <w:rPr>
                <w:rFonts w:hint="eastAsia"/>
                <w:sz w:val="24"/>
                <w:szCs w:val="24"/>
              </w:rPr>
              <w:t>不低于</w:t>
            </w:r>
            <w:r>
              <w:rPr>
                <w:sz w:val="24"/>
                <w:szCs w:val="24"/>
              </w:rPr>
              <w:t>3</w:t>
            </w:r>
            <w:r>
              <w:rPr>
                <w:rFonts w:hint="eastAsia"/>
                <w:sz w:val="24"/>
                <w:szCs w:val="24"/>
              </w:rPr>
              <w:t>2</w:t>
            </w:r>
          </w:p>
        </w:tc>
      </w:tr>
    </w:tbl>
    <w:p w:rsidR="007C6B89" w:rsidRDefault="00BC1383">
      <w:pPr>
        <w:pStyle w:val="1"/>
      </w:pPr>
      <w:r>
        <w:rPr>
          <w:rFonts w:hint="eastAsia"/>
        </w:rPr>
        <w:t>八、科研训练与学位论文</w:t>
      </w:r>
    </w:p>
    <w:p w:rsidR="007C6B89" w:rsidRDefault="00BC1383">
      <w:r>
        <w:rPr>
          <w:rFonts w:hint="eastAsia"/>
        </w:rPr>
        <w:t>科研训练与学位论文工作是培养学术学位硕士研究生从事科学研究或独立担负专门技术工作能力的关键环节。研究生应在导师（组）的指导下，</w:t>
      </w:r>
      <w:r>
        <w:rPr>
          <w:rFonts w:hint="eastAsia"/>
        </w:rPr>
        <w:lastRenderedPageBreak/>
        <w:t>明确研究方向，收集材料，开展调查研究，选择适当的课题，开展科技研究训练，并撰写学位论文。学术学位硕士研究生学位论文研究工作应与基础理论相结合，时间不少于</w:t>
      </w:r>
      <w:r>
        <w:rPr>
          <w:rFonts w:hint="eastAsia"/>
        </w:rPr>
        <w:t>1</w:t>
      </w:r>
      <w:r>
        <w:rPr>
          <w:rFonts w:hint="eastAsia"/>
        </w:rPr>
        <w:t>年。</w:t>
      </w:r>
    </w:p>
    <w:p w:rsidR="007C6B89" w:rsidRDefault="00BC1383">
      <w:r>
        <w:rPr>
          <w:rFonts w:hint="eastAsia"/>
        </w:rPr>
        <w:t>学位论文选题应密切结合轻工技术与工程学科发展方向，具有一定创新性和研究价值。学位论文要求内容充实，概念清晰，逻辑严谨，结构合理，数据可靠，格式规范，条理清楚，表达准确，具有一定的理论深度和难度，具有独到见解。学位论文正文字数一般不少于</w:t>
      </w:r>
      <w:r>
        <w:rPr>
          <w:rFonts w:hint="eastAsia"/>
        </w:rPr>
        <w:t>3</w:t>
      </w:r>
      <w:r>
        <w:rPr>
          <w:rFonts w:hint="eastAsia"/>
        </w:rPr>
        <w:t>万字。</w:t>
      </w:r>
    </w:p>
    <w:p w:rsidR="007C6B89" w:rsidRDefault="00BC1383">
      <w:pPr>
        <w:pStyle w:val="1"/>
      </w:pPr>
      <w:r>
        <w:rPr>
          <w:rFonts w:hint="eastAsia"/>
        </w:rPr>
        <w:t>九、论文答辩</w:t>
      </w:r>
    </w:p>
    <w:p w:rsidR="007C6B89" w:rsidRDefault="00BC1383">
      <w:bookmarkStart w:id="2" w:name="_Hlk133481425"/>
      <w:r>
        <w:rPr>
          <w:rFonts w:hint="eastAsia"/>
        </w:rPr>
        <w:t>学术学位硕士研究生完成培养方案中规定的所有环节，成绩合格，达到个人培养计划制定的学分要求，且符合学校和学部相关规定，可申请论文答辩。论文答辩一般在硕士研究生入学后的第六学期进行。提前及延期毕业的研究生按照《齐鲁工业大学（山东省科学院）研究生提前及延期毕业的暂行规定》（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10</w:t>
      </w:r>
      <w:r>
        <w:rPr>
          <w:rFonts w:hint="eastAsia"/>
        </w:rPr>
        <w:t>号）执行。论文答辩依据</w:t>
      </w:r>
      <w:bookmarkStart w:id="3" w:name="_Hlk117773397"/>
      <w:r>
        <w:rPr>
          <w:rFonts w:hint="eastAsia"/>
        </w:rPr>
        <w:t>《齐鲁工业大学（山东省科学院）硕士学位研究生答辩申请与资格审核实施办法》（齐鲁工大鲁科院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17</w:t>
      </w:r>
      <w:r>
        <w:rPr>
          <w:rFonts w:hint="eastAsia"/>
        </w:rPr>
        <w:t>号）《齐鲁工业大学（山东省科学院）硕士学位授予工作实施细则》（齐鲁工大鲁科院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26</w:t>
      </w:r>
      <w:r>
        <w:rPr>
          <w:rFonts w:hint="eastAsia"/>
        </w:rPr>
        <w:t>号）</w:t>
      </w:r>
      <w:bookmarkEnd w:id="3"/>
      <w:r>
        <w:rPr>
          <w:rFonts w:hint="eastAsia"/>
        </w:rPr>
        <w:t>和其他有关规定进行。</w:t>
      </w:r>
    </w:p>
    <w:bookmarkEnd w:id="2"/>
    <w:p w:rsidR="007C6B89" w:rsidRDefault="00BC1383">
      <w:r>
        <w:rPr>
          <w:rFonts w:hint="eastAsia"/>
        </w:rPr>
        <w:t>通过论文答辩，符合毕业条件者颁发毕业证书，达到学位授予标准者颁发学位证书。</w:t>
      </w:r>
    </w:p>
    <w:p w:rsidR="007C6B89" w:rsidRDefault="007C6B89"/>
    <w:p w:rsidR="007C6B89" w:rsidRDefault="007C6B89"/>
    <w:p w:rsidR="007C6B89" w:rsidRDefault="007C6B89">
      <w:bookmarkStart w:id="4" w:name="_GoBack"/>
      <w:bookmarkEnd w:id="4"/>
    </w:p>
    <w:p w:rsidR="007C6B89" w:rsidRDefault="007C6B89"/>
    <w:p w:rsidR="007C6B89" w:rsidRDefault="007C6B89"/>
    <w:p w:rsidR="007C6B89" w:rsidRDefault="007C6B89"/>
    <w:sectPr w:rsidR="007C6B8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chapStyle="1" w:chapSep="period"/>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36" w:rsidRDefault="00EB7E36">
      <w:pPr>
        <w:spacing w:line="240" w:lineRule="auto"/>
      </w:pPr>
      <w:r>
        <w:separator/>
      </w:r>
    </w:p>
  </w:endnote>
  <w:endnote w:type="continuationSeparator" w:id="0">
    <w:p w:rsidR="00EB7E36" w:rsidRDefault="00EB7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36" w:rsidRDefault="00EB7E36">
      <w:r>
        <w:separator/>
      </w:r>
    </w:p>
  </w:footnote>
  <w:footnote w:type="continuationSeparator" w:id="0">
    <w:p w:rsidR="00EB7E36" w:rsidRDefault="00EB7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89" w:rsidRDefault="007C6B89">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CE494"/>
    <w:multiLevelType w:val="singleLevel"/>
    <w:tmpl w:val="5A3CE49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YTgzZTVhZWJiNWNmMjk4YjBlMWUzMWUxMjQ5MDAifQ=="/>
  </w:docVars>
  <w:rsids>
    <w:rsidRoot w:val="000A6CE1"/>
    <w:rsid w:val="000000C7"/>
    <w:rsid w:val="00003879"/>
    <w:rsid w:val="0000489E"/>
    <w:rsid w:val="000123A2"/>
    <w:rsid w:val="000133FF"/>
    <w:rsid w:val="00021E3D"/>
    <w:rsid w:val="000238A1"/>
    <w:rsid w:val="00023E22"/>
    <w:rsid w:val="000357E7"/>
    <w:rsid w:val="0004330A"/>
    <w:rsid w:val="00050559"/>
    <w:rsid w:val="000514CE"/>
    <w:rsid w:val="000575D1"/>
    <w:rsid w:val="00070519"/>
    <w:rsid w:val="00071ECD"/>
    <w:rsid w:val="00083DDE"/>
    <w:rsid w:val="000A084F"/>
    <w:rsid w:val="000A6C62"/>
    <w:rsid w:val="000A6C9B"/>
    <w:rsid w:val="000A6CE1"/>
    <w:rsid w:val="000B1FBE"/>
    <w:rsid w:val="000F697C"/>
    <w:rsid w:val="0010324F"/>
    <w:rsid w:val="00105DBA"/>
    <w:rsid w:val="001079CD"/>
    <w:rsid w:val="00110FF6"/>
    <w:rsid w:val="00120D2A"/>
    <w:rsid w:val="00145A6E"/>
    <w:rsid w:val="001520D8"/>
    <w:rsid w:val="001566C4"/>
    <w:rsid w:val="00176CEB"/>
    <w:rsid w:val="00185BD6"/>
    <w:rsid w:val="00190AE2"/>
    <w:rsid w:val="001A01A0"/>
    <w:rsid w:val="001B4E13"/>
    <w:rsid w:val="001F49D6"/>
    <w:rsid w:val="002060CE"/>
    <w:rsid w:val="0021210C"/>
    <w:rsid w:val="00223D7F"/>
    <w:rsid w:val="00240B8D"/>
    <w:rsid w:val="002422BD"/>
    <w:rsid w:val="00242CDB"/>
    <w:rsid w:val="002444DD"/>
    <w:rsid w:val="00244AAD"/>
    <w:rsid w:val="0025065D"/>
    <w:rsid w:val="002740AF"/>
    <w:rsid w:val="00285AA9"/>
    <w:rsid w:val="00292EFC"/>
    <w:rsid w:val="002A39A9"/>
    <w:rsid w:val="002B2D33"/>
    <w:rsid w:val="002B36AE"/>
    <w:rsid w:val="002B4F6F"/>
    <w:rsid w:val="002B5043"/>
    <w:rsid w:val="002C53F6"/>
    <w:rsid w:val="002D10C1"/>
    <w:rsid w:val="002D5074"/>
    <w:rsid w:val="002E00F2"/>
    <w:rsid w:val="002E74DC"/>
    <w:rsid w:val="002F010D"/>
    <w:rsid w:val="002F3FC0"/>
    <w:rsid w:val="00302708"/>
    <w:rsid w:val="0032070F"/>
    <w:rsid w:val="003244E7"/>
    <w:rsid w:val="00335844"/>
    <w:rsid w:val="00350F04"/>
    <w:rsid w:val="00356640"/>
    <w:rsid w:val="00356675"/>
    <w:rsid w:val="00371082"/>
    <w:rsid w:val="00376751"/>
    <w:rsid w:val="00380379"/>
    <w:rsid w:val="00390F50"/>
    <w:rsid w:val="003B0A89"/>
    <w:rsid w:val="003B1799"/>
    <w:rsid w:val="003C0ED1"/>
    <w:rsid w:val="003C3D5A"/>
    <w:rsid w:val="003C6873"/>
    <w:rsid w:val="003D3F02"/>
    <w:rsid w:val="003D5968"/>
    <w:rsid w:val="003E0181"/>
    <w:rsid w:val="003E602E"/>
    <w:rsid w:val="00402401"/>
    <w:rsid w:val="004047DF"/>
    <w:rsid w:val="00414CC6"/>
    <w:rsid w:val="00430DA7"/>
    <w:rsid w:val="0043381D"/>
    <w:rsid w:val="00444F4B"/>
    <w:rsid w:val="004641B0"/>
    <w:rsid w:val="00472932"/>
    <w:rsid w:val="00475CA7"/>
    <w:rsid w:val="00476C8C"/>
    <w:rsid w:val="00476F39"/>
    <w:rsid w:val="00483FF7"/>
    <w:rsid w:val="00486934"/>
    <w:rsid w:val="00486D31"/>
    <w:rsid w:val="00487B8C"/>
    <w:rsid w:val="004A1D23"/>
    <w:rsid w:val="004B731C"/>
    <w:rsid w:val="004C2922"/>
    <w:rsid w:val="004C5124"/>
    <w:rsid w:val="004D1618"/>
    <w:rsid w:val="004E0766"/>
    <w:rsid w:val="004F4285"/>
    <w:rsid w:val="004F44C1"/>
    <w:rsid w:val="004F4C46"/>
    <w:rsid w:val="004F6980"/>
    <w:rsid w:val="005010AA"/>
    <w:rsid w:val="00502771"/>
    <w:rsid w:val="00503347"/>
    <w:rsid w:val="00505FE7"/>
    <w:rsid w:val="005137D9"/>
    <w:rsid w:val="0052438E"/>
    <w:rsid w:val="005250FC"/>
    <w:rsid w:val="005332D8"/>
    <w:rsid w:val="00543215"/>
    <w:rsid w:val="005514E1"/>
    <w:rsid w:val="00552B00"/>
    <w:rsid w:val="005533F5"/>
    <w:rsid w:val="005570D7"/>
    <w:rsid w:val="0056362A"/>
    <w:rsid w:val="005710D5"/>
    <w:rsid w:val="00571647"/>
    <w:rsid w:val="005754CD"/>
    <w:rsid w:val="005A1933"/>
    <w:rsid w:val="005A3590"/>
    <w:rsid w:val="005B35CA"/>
    <w:rsid w:val="005B393D"/>
    <w:rsid w:val="005B7383"/>
    <w:rsid w:val="005B7651"/>
    <w:rsid w:val="005C1518"/>
    <w:rsid w:val="005D0676"/>
    <w:rsid w:val="005D464E"/>
    <w:rsid w:val="005E1E71"/>
    <w:rsid w:val="005E5A0F"/>
    <w:rsid w:val="005F1436"/>
    <w:rsid w:val="005F5AEF"/>
    <w:rsid w:val="005F70EE"/>
    <w:rsid w:val="00601329"/>
    <w:rsid w:val="006259C0"/>
    <w:rsid w:val="006674E2"/>
    <w:rsid w:val="006735E9"/>
    <w:rsid w:val="00673B1B"/>
    <w:rsid w:val="00677D1E"/>
    <w:rsid w:val="006863D4"/>
    <w:rsid w:val="0069701E"/>
    <w:rsid w:val="006B14E3"/>
    <w:rsid w:val="006C00DA"/>
    <w:rsid w:val="006D5E8B"/>
    <w:rsid w:val="006E56AD"/>
    <w:rsid w:val="007031D4"/>
    <w:rsid w:val="007120B9"/>
    <w:rsid w:val="00713FEA"/>
    <w:rsid w:val="007361F5"/>
    <w:rsid w:val="00742D4E"/>
    <w:rsid w:val="007638F9"/>
    <w:rsid w:val="0077095A"/>
    <w:rsid w:val="007721A7"/>
    <w:rsid w:val="0077370D"/>
    <w:rsid w:val="00777D67"/>
    <w:rsid w:val="007940AD"/>
    <w:rsid w:val="007954E9"/>
    <w:rsid w:val="0079708E"/>
    <w:rsid w:val="007C6B89"/>
    <w:rsid w:val="007E4B73"/>
    <w:rsid w:val="0080737D"/>
    <w:rsid w:val="00812383"/>
    <w:rsid w:val="0082080A"/>
    <w:rsid w:val="00821B81"/>
    <w:rsid w:val="00831FF2"/>
    <w:rsid w:val="00841095"/>
    <w:rsid w:val="00842F87"/>
    <w:rsid w:val="00844723"/>
    <w:rsid w:val="00850E72"/>
    <w:rsid w:val="00871193"/>
    <w:rsid w:val="008719E2"/>
    <w:rsid w:val="00874826"/>
    <w:rsid w:val="00890753"/>
    <w:rsid w:val="008A4DD1"/>
    <w:rsid w:val="008C2531"/>
    <w:rsid w:val="008C2F28"/>
    <w:rsid w:val="008C4E5E"/>
    <w:rsid w:val="008C658C"/>
    <w:rsid w:val="008D1AD7"/>
    <w:rsid w:val="008D2DD3"/>
    <w:rsid w:val="008D358D"/>
    <w:rsid w:val="008D60D7"/>
    <w:rsid w:val="008D74BC"/>
    <w:rsid w:val="008E3378"/>
    <w:rsid w:val="008E5A5D"/>
    <w:rsid w:val="008E60A1"/>
    <w:rsid w:val="008F09DF"/>
    <w:rsid w:val="008F372D"/>
    <w:rsid w:val="008F3AE4"/>
    <w:rsid w:val="008F45CE"/>
    <w:rsid w:val="008F594A"/>
    <w:rsid w:val="008F65DC"/>
    <w:rsid w:val="00902DED"/>
    <w:rsid w:val="009112A2"/>
    <w:rsid w:val="00911513"/>
    <w:rsid w:val="00911921"/>
    <w:rsid w:val="009142D2"/>
    <w:rsid w:val="00916198"/>
    <w:rsid w:val="00924A9D"/>
    <w:rsid w:val="00926E4E"/>
    <w:rsid w:val="009314A0"/>
    <w:rsid w:val="009332D3"/>
    <w:rsid w:val="00942F2B"/>
    <w:rsid w:val="00943841"/>
    <w:rsid w:val="00946BAD"/>
    <w:rsid w:val="0095325E"/>
    <w:rsid w:val="00957424"/>
    <w:rsid w:val="00982C10"/>
    <w:rsid w:val="00983DEF"/>
    <w:rsid w:val="009873EF"/>
    <w:rsid w:val="009B311E"/>
    <w:rsid w:val="009D711D"/>
    <w:rsid w:val="009E061E"/>
    <w:rsid w:val="009E1DF0"/>
    <w:rsid w:val="009E65BE"/>
    <w:rsid w:val="009F0BF1"/>
    <w:rsid w:val="00A0425D"/>
    <w:rsid w:val="00A15DF3"/>
    <w:rsid w:val="00A25C1C"/>
    <w:rsid w:val="00A27499"/>
    <w:rsid w:val="00A32CB0"/>
    <w:rsid w:val="00A43BF6"/>
    <w:rsid w:val="00A5008A"/>
    <w:rsid w:val="00A60856"/>
    <w:rsid w:val="00A610AC"/>
    <w:rsid w:val="00A77C8F"/>
    <w:rsid w:val="00A80E6D"/>
    <w:rsid w:val="00AA1EFA"/>
    <w:rsid w:val="00AB1A13"/>
    <w:rsid w:val="00AB2094"/>
    <w:rsid w:val="00AD39AB"/>
    <w:rsid w:val="00AD5ACA"/>
    <w:rsid w:val="00AD7808"/>
    <w:rsid w:val="00AE2800"/>
    <w:rsid w:val="00AE666B"/>
    <w:rsid w:val="00AF35AD"/>
    <w:rsid w:val="00B0254B"/>
    <w:rsid w:val="00B0265C"/>
    <w:rsid w:val="00B13C8B"/>
    <w:rsid w:val="00B21704"/>
    <w:rsid w:val="00B2485F"/>
    <w:rsid w:val="00B25B9E"/>
    <w:rsid w:val="00B3127F"/>
    <w:rsid w:val="00B32EA9"/>
    <w:rsid w:val="00B36AD8"/>
    <w:rsid w:val="00B5780A"/>
    <w:rsid w:val="00B63E35"/>
    <w:rsid w:val="00B707CF"/>
    <w:rsid w:val="00B71BB8"/>
    <w:rsid w:val="00B80703"/>
    <w:rsid w:val="00B848B0"/>
    <w:rsid w:val="00BA4165"/>
    <w:rsid w:val="00BA6AFA"/>
    <w:rsid w:val="00BB5874"/>
    <w:rsid w:val="00BB7830"/>
    <w:rsid w:val="00BC1383"/>
    <w:rsid w:val="00BC72A6"/>
    <w:rsid w:val="00BC7DE1"/>
    <w:rsid w:val="00BC7ED4"/>
    <w:rsid w:val="00BD548F"/>
    <w:rsid w:val="00BE385C"/>
    <w:rsid w:val="00BE5EEE"/>
    <w:rsid w:val="00C05273"/>
    <w:rsid w:val="00C0676B"/>
    <w:rsid w:val="00C1032B"/>
    <w:rsid w:val="00C17B9F"/>
    <w:rsid w:val="00C20545"/>
    <w:rsid w:val="00C22F09"/>
    <w:rsid w:val="00C30FEE"/>
    <w:rsid w:val="00C33AAA"/>
    <w:rsid w:val="00C475CA"/>
    <w:rsid w:val="00C4783E"/>
    <w:rsid w:val="00C57C16"/>
    <w:rsid w:val="00C625E2"/>
    <w:rsid w:val="00C62DA7"/>
    <w:rsid w:val="00C7040C"/>
    <w:rsid w:val="00C72E18"/>
    <w:rsid w:val="00C7317F"/>
    <w:rsid w:val="00C804FF"/>
    <w:rsid w:val="00C8183C"/>
    <w:rsid w:val="00C81CB4"/>
    <w:rsid w:val="00C830C7"/>
    <w:rsid w:val="00C852C0"/>
    <w:rsid w:val="00C91287"/>
    <w:rsid w:val="00C9195E"/>
    <w:rsid w:val="00C95304"/>
    <w:rsid w:val="00CA01B4"/>
    <w:rsid w:val="00CA74D5"/>
    <w:rsid w:val="00CC0910"/>
    <w:rsid w:val="00CC579C"/>
    <w:rsid w:val="00CD18A0"/>
    <w:rsid w:val="00CD3359"/>
    <w:rsid w:val="00CD3DED"/>
    <w:rsid w:val="00CE7062"/>
    <w:rsid w:val="00CF601C"/>
    <w:rsid w:val="00D04D65"/>
    <w:rsid w:val="00D124EB"/>
    <w:rsid w:val="00D128E8"/>
    <w:rsid w:val="00D13D37"/>
    <w:rsid w:val="00D160E1"/>
    <w:rsid w:val="00D2651F"/>
    <w:rsid w:val="00D36A90"/>
    <w:rsid w:val="00D448A3"/>
    <w:rsid w:val="00D62FB8"/>
    <w:rsid w:val="00D6388B"/>
    <w:rsid w:val="00D64752"/>
    <w:rsid w:val="00D7080D"/>
    <w:rsid w:val="00D83F38"/>
    <w:rsid w:val="00D968DE"/>
    <w:rsid w:val="00DA04BF"/>
    <w:rsid w:val="00DA2554"/>
    <w:rsid w:val="00DA3111"/>
    <w:rsid w:val="00DB0C28"/>
    <w:rsid w:val="00DC1219"/>
    <w:rsid w:val="00DC69A8"/>
    <w:rsid w:val="00DF42CB"/>
    <w:rsid w:val="00E0234B"/>
    <w:rsid w:val="00E03F3B"/>
    <w:rsid w:val="00E0790E"/>
    <w:rsid w:val="00E16A07"/>
    <w:rsid w:val="00E25601"/>
    <w:rsid w:val="00E42D4B"/>
    <w:rsid w:val="00E50BD3"/>
    <w:rsid w:val="00E55161"/>
    <w:rsid w:val="00E649D6"/>
    <w:rsid w:val="00E75E25"/>
    <w:rsid w:val="00E836A3"/>
    <w:rsid w:val="00E8423C"/>
    <w:rsid w:val="00E90C30"/>
    <w:rsid w:val="00E958D1"/>
    <w:rsid w:val="00EB0048"/>
    <w:rsid w:val="00EB1313"/>
    <w:rsid w:val="00EB2B2C"/>
    <w:rsid w:val="00EB7E36"/>
    <w:rsid w:val="00EC24F2"/>
    <w:rsid w:val="00ED3F82"/>
    <w:rsid w:val="00ED7733"/>
    <w:rsid w:val="00EE0E81"/>
    <w:rsid w:val="00EE3360"/>
    <w:rsid w:val="00EE6E8E"/>
    <w:rsid w:val="00EF459B"/>
    <w:rsid w:val="00EF7E09"/>
    <w:rsid w:val="00F02C61"/>
    <w:rsid w:val="00F03F9C"/>
    <w:rsid w:val="00F04B30"/>
    <w:rsid w:val="00F0572F"/>
    <w:rsid w:val="00F06EFD"/>
    <w:rsid w:val="00F21450"/>
    <w:rsid w:val="00F22636"/>
    <w:rsid w:val="00F27ADB"/>
    <w:rsid w:val="00F31A33"/>
    <w:rsid w:val="00F33296"/>
    <w:rsid w:val="00F33492"/>
    <w:rsid w:val="00F4583E"/>
    <w:rsid w:val="00F54E14"/>
    <w:rsid w:val="00F609C0"/>
    <w:rsid w:val="00F8235A"/>
    <w:rsid w:val="00F92A1C"/>
    <w:rsid w:val="00FB5B8E"/>
    <w:rsid w:val="00FB6EE0"/>
    <w:rsid w:val="00FC1F91"/>
    <w:rsid w:val="00FE6C22"/>
    <w:rsid w:val="00FF3139"/>
    <w:rsid w:val="00FF50A1"/>
    <w:rsid w:val="00FF66D3"/>
    <w:rsid w:val="022719F0"/>
    <w:rsid w:val="040269B2"/>
    <w:rsid w:val="080C26B7"/>
    <w:rsid w:val="0B22583A"/>
    <w:rsid w:val="0B603E72"/>
    <w:rsid w:val="0BF04E21"/>
    <w:rsid w:val="0C6463A6"/>
    <w:rsid w:val="0D8C4325"/>
    <w:rsid w:val="112D7EBD"/>
    <w:rsid w:val="14676B15"/>
    <w:rsid w:val="15241DE5"/>
    <w:rsid w:val="182A2F41"/>
    <w:rsid w:val="193C433C"/>
    <w:rsid w:val="19DE1878"/>
    <w:rsid w:val="1A4D47CA"/>
    <w:rsid w:val="1AD30927"/>
    <w:rsid w:val="1E736097"/>
    <w:rsid w:val="2138260B"/>
    <w:rsid w:val="21B859EE"/>
    <w:rsid w:val="21E023A2"/>
    <w:rsid w:val="28235205"/>
    <w:rsid w:val="286E32DA"/>
    <w:rsid w:val="29964447"/>
    <w:rsid w:val="299F7846"/>
    <w:rsid w:val="29B678DB"/>
    <w:rsid w:val="2CB04D4F"/>
    <w:rsid w:val="2F4C569E"/>
    <w:rsid w:val="302F5181"/>
    <w:rsid w:val="34A4283B"/>
    <w:rsid w:val="37D85C14"/>
    <w:rsid w:val="3A7D1A35"/>
    <w:rsid w:val="3CC13689"/>
    <w:rsid w:val="3D9F24BC"/>
    <w:rsid w:val="3EE1193F"/>
    <w:rsid w:val="3F8023A8"/>
    <w:rsid w:val="3FD269D4"/>
    <w:rsid w:val="41241696"/>
    <w:rsid w:val="450B3510"/>
    <w:rsid w:val="4826200E"/>
    <w:rsid w:val="4C16406B"/>
    <w:rsid w:val="4DA700FC"/>
    <w:rsid w:val="4DD86458"/>
    <w:rsid w:val="4DFE316E"/>
    <w:rsid w:val="50E81945"/>
    <w:rsid w:val="55947BA0"/>
    <w:rsid w:val="5B853831"/>
    <w:rsid w:val="5C8341AB"/>
    <w:rsid w:val="5CD55CDD"/>
    <w:rsid w:val="5DC16477"/>
    <w:rsid w:val="5E224C01"/>
    <w:rsid w:val="62CF64E6"/>
    <w:rsid w:val="63501306"/>
    <w:rsid w:val="6594141B"/>
    <w:rsid w:val="68324D2A"/>
    <w:rsid w:val="6B93120A"/>
    <w:rsid w:val="70FA1FAA"/>
    <w:rsid w:val="72712834"/>
    <w:rsid w:val="748E27FA"/>
    <w:rsid w:val="756C76D9"/>
    <w:rsid w:val="75D71953"/>
    <w:rsid w:val="7B897789"/>
    <w:rsid w:val="7E7C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07AF7-D983-4A0C-B777-D7E865E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560"/>
      <w:jc w:val="both"/>
    </w:pPr>
    <w:rPr>
      <w:kern w:val="2"/>
      <w:sz w:val="28"/>
      <w:szCs w:val="28"/>
    </w:rPr>
  </w:style>
  <w:style w:type="paragraph" w:styleId="1">
    <w:name w:val="heading 1"/>
    <w:basedOn w:val="a"/>
    <w:next w:val="a"/>
    <w:link w:val="1Char"/>
    <w:qFormat/>
    <w:pPr>
      <w:keepNext/>
      <w:keepLines/>
      <w:spacing w:beforeLines="50" w:before="156" w:afterLines="50" w:after="156"/>
      <w:ind w:firstLineChars="0" w:firstLine="0"/>
      <w:jc w:val="left"/>
      <w:outlineLvl w:val="0"/>
    </w:pPr>
    <w:rPr>
      <w:b/>
      <w:bCs/>
      <w:kern w:val="44"/>
      <w:szCs w:val="44"/>
    </w:rPr>
  </w:style>
  <w:style w:type="paragraph" w:styleId="2">
    <w:name w:val="heading 2"/>
    <w:basedOn w:val="a"/>
    <w:next w:val="a"/>
    <w:qFormat/>
    <w:pPr>
      <w:keepNext/>
      <w:keepLines/>
      <w:spacing w:beforeLines="50" w:before="156"/>
      <w:ind w:firstLineChars="0" w:firstLine="0"/>
      <w:outlineLvl w:val="1"/>
    </w:pPr>
    <w:rPr>
      <w:b/>
      <w:bCs/>
      <w:szCs w:val="32"/>
    </w:rPr>
  </w:style>
  <w:style w:type="paragraph" w:styleId="3">
    <w:name w:val="heading 3"/>
    <w:basedOn w:val="a"/>
    <w:next w:val="a"/>
    <w:qFormat/>
    <w:pPr>
      <w:keepNext/>
      <w:keepLines/>
      <w:ind w:firstLine="200"/>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qFormat/>
    <w:pPr>
      <w:jc w:val="left"/>
    </w:pPr>
  </w:style>
  <w:style w:type="paragraph" w:styleId="a5">
    <w:name w:val="Plain Text"/>
    <w:basedOn w:val="a"/>
    <w:rPr>
      <w:rFonts w:ascii="宋体" w:hAnsi="Courier New"/>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left" w:pos="986"/>
        <w:tab w:val="right" w:leader="dot" w:pos="8778"/>
      </w:tabs>
      <w:ind w:firstLineChars="171" w:firstLine="323"/>
    </w:pPr>
    <w:rPr>
      <w:rFonts w:ascii="宋体" w:hAnsi="宋体"/>
      <w:snapToGrid w:val="0"/>
      <w:kern w:val="0"/>
    </w:rPr>
  </w:style>
  <w:style w:type="paragraph" w:styleId="a9">
    <w:name w:val="Title"/>
    <w:basedOn w:val="a"/>
    <w:next w:val="a"/>
    <w:link w:val="Char3"/>
    <w:qFormat/>
    <w:pPr>
      <w:adjustRightInd w:val="0"/>
      <w:snapToGrid w:val="0"/>
      <w:spacing w:line="300" w:lineRule="auto"/>
      <w:ind w:firstLineChars="0" w:firstLine="0"/>
      <w:jc w:val="center"/>
      <w:outlineLvl w:val="0"/>
    </w:pPr>
    <w:rPr>
      <w:rFonts w:eastAsia="黑体"/>
      <w:b/>
      <w:sz w:val="40"/>
      <w:szCs w:val="40"/>
    </w:rPr>
  </w:style>
  <w:style w:type="paragraph" w:styleId="aa">
    <w:name w:val="annotation subject"/>
    <w:basedOn w:val="a4"/>
    <w:next w:val="a4"/>
    <w:link w:val="Char4"/>
    <w:rPr>
      <w:b/>
      <w:bCs/>
    </w:rPr>
  </w:style>
  <w:style w:type="table" w:styleId="ab">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21"/>
      <w:szCs w:val="21"/>
    </w:rPr>
  </w:style>
  <w:style w:type="character" w:customStyle="1" w:styleId="Char">
    <w:name w:val="批注文字 Char"/>
    <w:link w:val="a4"/>
    <w:qFormat/>
    <w:rPr>
      <w:kern w:val="2"/>
      <w:sz w:val="21"/>
      <w:szCs w:val="24"/>
    </w:rPr>
  </w:style>
  <w:style w:type="character" w:customStyle="1" w:styleId="Char0">
    <w:name w:val="批注框文本 Char"/>
    <w:link w:val="a6"/>
    <w:qFormat/>
    <w:rPr>
      <w:kern w:val="2"/>
      <w:sz w:val="18"/>
      <w:szCs w:val="18"/>
    </w:rPr>
  </w:style>
  <w:style w:type="character" w:customStyle="1" w:styleId="Char1">
    <w:name w:val="页脚 Char"/>
    <w:link w:val="a7"/>
    <w:qFormat/>
    <w:rPr>
      <w:kern w:val="2"/>
      <w:sz w:val="18"/>
      <w:szCs w:val="18"/>
    </w:rPr>
  </w:style>
  <w:style w:type="character" w:customStyle="1" w:styleId="Char2">
    <w:name w:val="页眉 Char"/>
    <w:link w:val="a8"/>
    <w:qFormat/>
    <w:rPr>
      <w:kern w:val="2"/>
      <w:sz w:val="18"/>
      <w:szCs w:val="18"/>
    </w:rPr>
  </w:style>
  <w:style w:type="character" w:customStyle="1" w:styleId="Char4">
    <w:name w:val="批注主题 Char"/>
    <w:link w:val="aa"/>
    <w:qFormat/>
    <w:rPr>
      <w:b/>
      <w:bCs/>
      <w:kern w:val="2"/>
      <w:sz w:val="21"/>
      <w:szCs w:val="24"/>
    </w:rPr>
  </w:style>
  <w:style w:type="paragraph" w:customStyle="1" w:styleId="1TimesNewRoman18">
    <w:name w:val="样式 标题 1 + Times New Roman 五号 非加粗 段前: 自动 段后: 自动 行距: 固定值 18 磅"/>
    <w:basedOn w:val="1"/>
    <w:qFormat/>
    <w:pPr>
      <w:keepNext w:val="0"/>
      <w:widowControl/>
      <w:spacing w:before="100" w:beforeAutospacing="1" w:after="100" w:afterAutospacing="1"/>
    </w:pPr>
    <w:rPr>
      <w:rFonts w:cs="宋体"/>
    </w:rPr>
  </w:style>
  <w:style w:type="paragraph" w:customStyle="1" w:styleId="10018">
    <w:name w:val="样式 标题 1 + 段前: 0 磅 段后: 0 磅 行距: 固定值 18 磅"/>
    <w:basedOn w:val="1"/>
    <w:qFormat/>
    <w:pPr>
      <w:spacing w:line="360" w:lineRule="exact"/>
    </w:pPr>
    <w:rPr>
      <w:rFonts w:cs="宋体"/>
      <w:szCs w:val="20"/>
    </w:rPr>
  </w:style>
  <w:style w:type="paragraph" w:customStyle="1" w:styleId="ad">
    <w:name w:val="表格表头"/>
    <w:basedOn w:val="a"/>
    <w:qFormat/>
    <w:pPr>
      <w:framePr w:hSpace="180" w:wrap="around" w:vAnchor="text" w:hAnchor="margin" w:xAlign="center" w:y="292"/>
      <w:widowControl/>
      <w:adjustRightInd w:val="0"/>
      <w:snapToGrid w:val="0"/>
      <w:jc w:val="center"/>
    </w:pPr>
    <w:rPr>
      <w:rFonts w:ascii="黑体" w:eastAsia="黑体" w:hAnsi="黑体" w:cs="宋体"/>
      <w:b/>
      <w:bCs/>
      <w:kern w:val="0"/>
    </w:rPr>
  </w:style>
  <w:style w:type="character" w:customStyle="1" w:styleId="1Char">
    <w:name w:val="标题 1 Char"/>
    <w:link w:val="1"/>
    <w:qFormat/>
    <w:rPr>
      <w:b/>
      <w:bCs/>
      <w:kern w:val="44"/>
      <w:sz w:val="28"/>
      <w:szCs w:val="44"/>
    </w:rPr>
  </w:style>
  <w:style w:type="character" w:customStyle="1" w:styleId="Char3">
    <w:name w:val="标题 Char"/>
    <w:basedOn w:val="a0"/>
    <w:link w:val="a9"/>
    <w:qFormat/>
    <w:rPr>
      <w:rFonts w:eastAsia="黑体"/>
      <w:b/>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34FC-2509-45B5-B602-A8B79E09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1023</Words>
  <Characters>5832</Characters>
  <Application>Microsoft Office Word</Application>
  <DocSecurity>0</DocSecurity>
  <Lines>48</Lines>
  <Paragraphs>13</Paragraphs>
  <ScaleCrop>false</ScaleCrop>
  <Company>ujn</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”学科硕士学位研究生培养方案模板</dc:title>
  <dc:creator>user</dc:creator>
  <cp:lastModifiedBy>HP</cp:lastModifiedBy>
  <cp:revision>23</cp:revision>
  <cp:lastPrinted>2022-11-18T08:33:00Z</cp:lastPrinted>
  <dcterms:created xsi:type="dcterms:W3CDTF">2023-05-24T03:08:00Z</dcterms:created>
  <dcterms:modified xsi:type="dcterms:W3CDTF">2024-08-28T02:48:00Z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vt:lpwstr>6</vt:lpwstr>
  </property>
  <property fmtid="{D5CDD505-2E9C-101B-9397-08002B2CF9AE}" pid="4" name="ICV">
    <vt:lpwstr>83AF765C30B647ABA2504EDBEBFA2435</vt:lpwstr>
  </property>
</Properties>
</file>