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8688D" w14:textId="77777777" w:rsidR="00AF43BD" w:rsidRDefault="00000000">
      <w:pPr>
        <w:spacing w:line="700" w:lineRule="exact"/>
        <w:jc w:val="center"/>
        <w:outlineLvl w:val="0"/>
        <w:rPr>
          <w:rFonts w:ascii="方正小标宋简体" w:eastAsia="方正小标宋简体" w:hAnsi="方正小标宋简体" w:cs="方正小标宋简体" w:hint="eastAsia"/>
          <w:b/>
          <w:sz w:val="40"/>
          <w:szCs w:val="40"/>
          <w:lang w:eastAsia="zh-CN"/>
        </w:rPr>
      </w:pPr>
      <w:r>
        <w:rPr>
          <w:rFonts w:ascii="方正小标宋简体" w:eastAsia="方正小标宋简体" w:hAnsi="方正小标宋简体" w:cs="方正小标宋简体" w:hint="eastAsia"/>
          <w:b/>
          <w:sz w:val="40"/>
          <w:szCs w:val="40"/>
          <w:lang w:eastAsia="zh-CN"/>
        </w:rPr>
        <w:t>齐鲁工业大学（山东省科学院）</w:t>
      </w:r>
    </w:p>
    <w:p w14:paraId="40FFEED2" w14:textId="77777777" w:rsidR="00AF43BD" w:rsidRDefault="00000000">
      <w:pPr>
        <w:spacing w:line="700" w:lineRule="exact"/>
        <w:jc w:val="center"/>
        <w:outlineLvl w:val="0"/>
        <w:rPr>
          <w:rFonts w:ascii="方正小标宋简体" w:eastAsia="方正小标宋简体" w:hAnsi="方正小标宋简体" w:cs="方正小标宋简体" w:hint="eastAsia"/>
          <w:b/>
          <w:sz w:val="40"/>
          <w:szCs w:val="40"/>
          <w:lang w:eastAsia="zh-CN"/>
        </w:rPr>
      </w:pPr>
      <w:r>
        <w:rPr>
          <w:rFonts w:ascii="方正小标宋简体" w:eastAsia="方正小标宋简体" w:hAnsi="方正小标宋简体" w:cs="方正小标宋简体" w:hint="eastAsia"/>
          <w:b/>
          <w:sz w:val="40"/>
          <w:szCs w:val="40"/>
          <w:lang w:eastAsia="zh-CN"/>
        </w:rPr>
        <w:t>专业学位博士研究生培养方案</w:t>
      </w:r>
    </w:p>
    <w:p w14:paraId="3579C309" w14:textId="77777777" w:rsidR="00AF43BD" w:rsidRDefault="00000000">
      <w:pPr>
        <w:spacing w:line="700" w:lineRule="exact"/>
        <w:jc w:val="center"/>
        <w:outlineLvl w:val="0"/>
        <w:rPr>
          <w:rFonts w:ascii="方正小标宋简体" w:eastAsia="方正小标宋简体" w:hAnsi="方正小标宋简体" w:cs="方正小标宋简体" w:hint="eastAsia"/>
          <w:b/>
          <w:sz w:val="28"/>
          <w:szCs w:val="40"/>
          <w:lang w:eastAsia="zh-CN"/>
        </w:rPr>
      </w:pPr>
      <w:r>
        <w:rPr>
          <w:rFonts w:ascii="方正小标宋简体" w:eastAsia="方正小标宋简体" w:hAnsi="方正小标宋简体" w:cs="方正小标宋简体" w:hint="eastAsia"/>
          <w:b/>
          <w:sz w:val="28"/>
          <w:szCs w:val="40"/>
          <w:lang w:eastAsia="zh-CN"/>
        </w:rPr>
        <w:t>类别代码及名称：</w:t>
      </w:r>
      <w:r>
        <w:rPr>
          <w:rFonts w:ascii="方正小标宋简体" w:eastAsia="方正小标宋简体" w:hAnsi="方正小标宋简体" w:cs="方正小标宋简体"/>
          <w:b/>
          <w:sz w:val="28"/>
          <w:szCs w:val="40"/>
          <w:lang w:eastAsia="zh-CN"/>
        </w:rPr>
        <w:t>0856材料与化工</w:t>
      </w:r>
      <w:r>
        <w:rPr>
          <w:rFonts w:ascii="方正小标宋简体" w:eastAsia="方正小标宋简体" w:hAnsi="方正小标宋简体" w:cs="方正小标宋简体" w:hint="eastAsia"/>
          <w:b/>
          <w:sz w:val="28"/>
          <w:szCs w:val="40"/>
          <w:lang w:eastAsia="zh-CN"/>
        </w:rPr>
        <w:t xml:space="preserve">   </w:t>
      </w:r>
    </w:p>
    <w:p w14:paraId="1B3BF475" w14:textId="77777777" w:rsidR="00AF43BD" w:rsidRDefault="00000000">
      <w:pPr>
        <w:spacing w:line="700" w:lineRule="exact"/>
        <w:jc w:val="center"/>
        <w:outlineLvl w:val="0"/>
        <w:rPr>
          <w:rFonts w:ascii="方正小标宋简体" w:eastAsia="方正小标宋简体" w:hAnsi="方正小标宋简体" w:cs="方正小标宋简体" w:hint="eastAsia"/>
          <w:b/>
          <w:sz w:val="28"/>
          <w:szCs w:val="28"/>
          <w:lang w:eastAsia="zh-CN"/>
        </w:rPr>
      </w:pPr>
      <w:r>
        <w:rPr>
          <w:rFonts w:ascii="方正小标宋简体" w:eastAsia="方正小标宋简体" w:hAnsi="方正小标宋简体" w:cs="方正小标宋简体" w:hint="eastAsia"/>
          <w:b/>
          <w:sz w:val="28"/>
          <w:szCs w:val="40"/>
          <w:lang w:eastAsia="zh-CN"/>
        </w:rPr>
        <w:t>专业领域代码及名称：</w:t>
      </w:r>
      <w:r>
        <w:rPr>
          <w:rFonts w:ascii="方正小标宋简体" w:eastAsia="方正小标宋简体" w:hAnsi="方正小标宋简体" w:cs="方正小标宋简体"/>
          <w:b/>
          <w:sz w:val="28"/>
          <w:szCs w:val="40"/>
          <w:lang w:eastAsia="zh-CN"/>
        </w:rPr>
        <w:t>085606轻化工程</w:t>
      </w:r>
    </w:p>
    <w:p w14:paraId="661DEB38" w14:textId="77777777" w:rsidR="00AF43BD" w:rsidRDefault="00AF43BD">
      <w:pPr>
        <w:adjustRightInd/>
        <w:snapToGrid/>
        <w:spacing w:line="560" w:lineRule="exact"/>
        <w:rPr>
          <w:lang w:eastAsia="zh-CN"/>
        </w:rPr>
      </w:pPr>
    </w:p>
    <w:p w14:paraId="24D59E75" w14:textId="77777777" w:rsidR="00AF43BD" w:rsidRDefault="00000000">
      <w:pPr>
        <w:widowControl w:val="0"/>
        <w:kinsoku/>
        <w:autoSpaceDE/>
        <w:autoSpaceDN/>
        <w:spacing w:beforeLines="50" w:before="120" w:line="560" w:lineRule="exact"/>
        <w:ind w:firstLine="562"/>
        <w:jc w:val="both"/>
        <w:textAlignment w:val="auto"/>
        <w:outlineLvl w:val="0"/>
        <w:rPr>
          <w:rFonts w:ascii="黑体" w:eastAsia="黑体" w:hAnsi="黑体" w:cs="黑体" w:hint="eastAsia"/>
          <w:b/>
          <w:snapToGrid/>
          <w:kern w:val="2"/>
          <w:sz w:val="32"/>
          <w:szCs w:val="32"/>
          <w:lang w:eastAsia="zh-CN"/>
        </w:rPr>
      </w:pPr>
      <w:r>
        <w:rPr>
          <w:rFonts w:ascii="黑体" w:eastAsia="黑体" w:hAnsi="黑体" w:cs="黑体" w:hint="eastAsia"/>
          <w:b/>
          <w:snapToGrid/>
          <w:kern w:val="2"/>
          <w:sz w:val="32"/>
          <w:szCs w:val="32"/>
          <w:lang w:eastAsia="zh-CN"/>
        </w:rPr>
        <w:t>一、学位点简介</w:t>
      </w:r>
    </w:p>
    <w:p w14:paraId="322CC38C" w14:textId="77777777" w:rsidR="00AF43BD" w:rsidRDefault="00000000">
      <w:pPr>
        <w:numPr>
          <w:ilvl w:val="255"/>
          <w:numId w:val="0"/>
        </w:numPr>
        <w:adjustRightInd/>
        <w:snapToGrid/>
        <w:spacing w:line="560" w:lineRule="exact"/>
        <w:ind w:firstLineChars="200" w:firstLine="640"/>
        <w:jc w:val="both"/>
        <w:rPr>
          <w:rFonts w:ascii="仿宋_GB2312" w:eastAsia="仿宋_GB2312" w:hAnsi="仿宋_GB2312" w:cs="仿宋_GB2312" w:hint="eastAsia"/>
          <w:snapToGrid/>
          <w:color w:val="000000" w:themeColor="text1"/>
          <w:kern w:val="2"/>
          <w:sz w:val="32"/>
          <w:szCs w:val="32"/>
          <w:lang w:eastAsia="zh-CN"/>
        </w:rPr>
      </w:pPr>
      <w:r>
        <w:rPr>
          <w:rFonts w:ascii="仿宋_GB2312" w:eastAsia="仿宋_GB2312" w:hAnsi="仿宋_GB2312" w:cs="仿宋_GB2312"/>
          <w:snapToGrid/>
          <w:color w:val="000000" w:themeColor="text1"/>
          <w:kern w:val="2"/>
          <w:sz w:val="32"/>
          <w:szCs w:val="32"/>
          <w:lang w:eastAsia="zh-CN"/>
        </w:rPr>
        <w:t>材料与化工专业学位</w:t>
      </w:r>
      <w:r>
        <w:rPr>
          <w:rFonts w:ascii="仿宋_GB2312" w:eastAsia="仿宋_GB2312" w:hAnsi="仿宋_GB2312" w:cs="仿宋_GB2312" w:hint="eastAsia"/>
          <w:snapToGrid/>
          <w:color w:val="000000" w:themeColor="text1"/>
          <w:kern w:val="2"/>
          <w:sz w:val="32"/>
          <w:szCs w:val="32"/>
          <w:lang w:eastAsia="zh-CN"/>
        </w:rPr>
        <w:t>点</w:t>
      </w:r>
      <w:r>
        <w:rPr>
          <w:rFonts w:ascii="仿宋_GB2312" w:eastAsia="仿宋_GB2312" w:hAnsi="仿宋_GB2312" w:cs="仿宋_GB2312"/>
          <w:snapToGrid/>
          <w:color w:val="000000" w:themeColor="text1"/>
          <w:kern w:val="2"/>
          <w:sz w:val="32"/>
          <w:szCs w:val="32"/>
          <w:lang w:eastAsia="zh-CN"/>
        </w:rPr>
        <w:t>于2019年由材料工程、化学工程、轻工技术与工程三个工程专业学位领域</w:t>
      </w:r>
      <w:r>
        <w:rPr>
          <w:rFonts w:ascii="仿宋_GB2312" w:eastAsia="仿宋_GB2312" w:hAnsi="仿宋_GB2312" w:cs="仿宋_GB2312" w:hint="eastAsia"/>
          <w:snapToGrid/>
          <w:color w:val="000000" w:themeColor="text1"/>
          <w:kern w:val="2"/>
          <w:sz w:val="32"/>
          <w:szCs w:val="32"/>
          <w:lang w:eastAsia="zh-CN"/>
        </w:rPr>
        <w:t>整合</w:t>
      </w:r>
      <w:r>
        <w:rPr>
          <w:rFonts w:ascii="仿宋_GB2312" w:eastAsia="仿宋_GB2312" w:hAnsi="仿宋_GB2312" w:cs="仿宋_GB2312"/>
          <w:snapToGrid/>
          <w:color w:val="000000" w:themeColor="text1"/>
          <w:kern w:val="2"/>
          <w:sz w:val="32"/>
          <w:szCs w:val="32"/>
          <w:lang w:eastAsia="zh-CN"/>
        </w:rPr>
        <w:t>建立，</w:t>
      </w:r>
      <w:r>
        <w:rPr>
          <w:rFonts w:ascii="仿宋_GB2312" w:eastAsia="仿宋_GB2312" w:hAnsi="仿宋_GB2312" w:cs="仿宋_GB2312" w:hint="eastAsia"/>
          <w:snapToGrid/>
          <w:color w:val="000000" w:themeColor="text1"/>
          <w:kern w:val="2"/>
          <w:sz w:val="32"/>
          <w:szCs w:val="32"/>
          <w:lang w:eastAsia="zh-CN"/>
        </w:rPr>
        <w:t>培养专业学位研究生，</w:t>
      </w:r>
      <w:r>
        <w:rPr>
          <w:rFonts w:ascii="仿宋_GB2312" w:eastAsia="仿宋_GB2312" w:hAnsi="仿宋_GB2312" w:cs="仿宋_GB2312"/>
          <w:snapToGrid/>
          <w:color w:val="000000" w:themeColor="text1"/>
          <w:kern w:val="2"/>
          <w:sz w:val="32"/>
          <w:szCs w:val="32"/>
          <w:lang w:eastAsia="zh-CN"/>
        </w:rPr>
        <w:t>2025年</w:t>
      </w:r>
      <w:r>
        <w:rPr>
          <w:rFonts w:ascii="仿宋_GB2312" w:eastAsia="仿宋_GB2312" w:hAnsi="仿宋_GB2312" w:cs="仿宋_GB2312" w:hint="eastAsia"/>
          <w:snapToGrid/>
          <w:color w:val="000000" w:themeColor="text1"/>
          <w:kern w:val="2"/>
          <w:sz w:val="32"/>
          <w:szCs w:val="32"/>
          <w:lang w:eastAsia="zh-CN"/>
        </w:rPr>
        <w:t>起</w:t>
      </w:r>
      <w:r>
        <w:rPr>
          <w:rFonts w:ascii="仿宋_GB2312" w:eastAsia="仿宋_GB2312" w:hAnsi="仿宋_GB2312" w:cs="仿宋_GB2312"/>
          <w:snapToGrid/>
          <w:color w:val="000000" w:themeColor="text1"/>
          <w:kern w:val="2"/>
          <w:sz w:val="32"/>
          <w:szCs w:val="32"/>
          <w:lang w:eastAsia="zh-CN"/>
        </w:rPr>
        <w:t>招收</w:t>
      </w:r>
      <w:r>
        <w:rPr>
          <w:rFonts w:ascii="仿宋_GB2312" w:eastAsia="仿宋_GB2312" w:hAnsi="仿宋_GB2312" w:cs="仿宋_GB2312" w:hint="eastAsia"/>
          <w:snapToGrid/>
          <w:color w:val="000000" w:themeColor="text1"/>
          <w:kern w:val="2"/>
          <w:sz w:val="32"/>
          <w:szCs w:val="32"/>
          <w:lang w:eastAsia="zh-CN"/>
        </w:rPr>
        <w:t>专业学位</w:t>
      </w:r>
      <w:r>
        <w:rPr>
          <w:rFonts w:ascii="仿宋_GB2312" w:eastAsia="仿宋_GB2312" w:hAnsi="仿宋_GB2312" w:cs="仿宋_GB2312"/>
          <w:snapToGrid/>
          <w:color w:val="000000" w:themeColor="text1"/>
          <w:kern w:val="2"/>
          <w:sz w:val="32"/>
          <w:szCs w:val="32"/>
          <w:lang w:eastAsia="zh-CN"/>
        </w:rPr>
        <w:t>博士研究生。本学位点聚焦材料轻质高强化、造纸绿色生态化、化工环保生物化等工程领域，设置了轻化工程、材料工程以及化学工程</w:t>
      </w:r>
      <w:r>
        <w:rPr>
          <w:rFonts w:ascii="仿宋_GB2312" w:eastAsia="仿宋_GB2312" w:hAnsi="仿宋_GB2312" w:cs="仿宋_GB2312" w:hint="eastAsia"/>
          <w:snapToGrid/>
          <w:color w:val="000000" w:themeColor="text1"/>
          <w:kern w:val="2"/>
          <w:sz w:val="32"/>
          <w:szCs w:val="32"/>
          <w:lang w:eastAsia="zh-CN"/>
        </w:rPr>
        <w:t>3个专业领域</w:t>
      </w:r>
      <w:r>
        <w:rPr>
          <w:rFonts w:ascii="仿宋_GB2312" w:eastAsia="仿宋_GB2312" w:hAnsi="仿宋_GB2312" w:cs="仿宋_GB2312"/>
          <w:snapToGrid/>
          <w:color w:val="000000" w:themeColor="text1"/>
          <w:kern w:val="2"/>
          <w:sz w:val="32"/>
          <w:szCs w:val="32"/>
          <w:lang w:eastAsia="zh-CN"/>
        </w:rPr>
        <w:t>。</w:t>
      </w:r>
      <w:r>
        <w:rPr>
          <w:rFonts w:ascii="仿宋_GB2312" w:eastAsia="仿宋_GB2312" w:hAnsi="仿宋_GB2312" w:cs="仿宋_GB2312" w:hint="eastAsia"/>
          <w:snapToGrid/>
          <w:color w:val="000000" w:themeColor="text1"/>
          <w:kern w:val="2"/>
          <w:sz w:val="32"/>
          <w:szCs w:val="32"/>
          <w:lang w:eastAsia="zh-CN"/>
        </w:rPr>
        <w:t>轻化工程领域主要依托齐鲁工业大学（山东省科学院）轻工技术与工程学科办学，建有绿色造纸与资源循环全国重点实验室、轻工生物基产品绿色技术省部共建协同创新中心、制浆造纸科学与技术教育部重点实验室等高能级科技创新平台，形成了覆盖轻工全产业链的科研创新网络。本学位点专业领域面向国家“双碳”战略和轻工产业转型升级发展需求，重点围绕</w:t>
      </w:r>
      <w:r>
        <w:rPr>
          <w:rFonts w:ascii="仿宋_GB2312" w:eastAsia="仿宋_GB2312" w:hAnsi="仿宋_GB2312" w:cs="仿宋_GB2312" w:hint="eastAsia"/>
          <w:bCs/>
          <w:sz w:val="32"/>
          <w:szCs w:val="32"/>
          <w:lang w:eastAsia="zh-CN"/>
        </w:rPr>
        <w:t>生物基功能材料、生物质能源与器件、现代轻工技术与工程3大核心方向</w:t>
      </w:r>
      <w:r>
        <w:rPr>
          <w:rFonts w:ascii="仿宋_GB2312" w:eastAsia="仿宋_GB2312" w:hAnsi="仿宋_GB2312" w:cs="仿宋_GB2312" w:hint="eastAsia"/>
          <w:snapToGrid/>
          <w:color w:val="000000" w:themeColor="text1"/>
          <w:kern w:val="2"/>
          <w:sz w:val="32"/>
          <w:szCs w:val="32"/>
          <w:lang w:eastAsia="zh-CN"/>
        </w:rPr>
        <w:t>开展科技创新和研究生培育，聚力突破制约轻工行业绿色发展的关键科学问题和技术瓶颈，</w:t>
      </w:r>
      <w:r>
        <w:rPr>
          <w:rFonts w:ascii="仿宋_GB2312" w:eastAsia="仿宋_GB2312" w:hAnsi="仿宋_GB2312" w:cs="仿宋_GB2312"/>
          <w:snapToGrid/>
          <w:color w:val="000000" w:themeColor="text1"/>
          <w:kern w:val="2"/>
          <w:sz w:val="32"/>
          <w:szCs w:val="32"/>
          <w:lang w:eastAsia="zh-CN"/>
        </w:rPr>
        <w:t>持续</w:t>
      </w:r>
      <w:r>
        <w:rPr>
          <w:rFonts w:ascii="仿宋_GB2312" w:eastAsia="仿宋_GB2312" w:hAnsi="仿宋_GB2312" w:cs="仿宋_GB2312" w:hint="eastAsia"/>
          <w:snapToGrid/>
          <w:color w:val="000000" w:themeColor="text1"/>
          <w:kern w:val="2"/>
          <w:sz w:val="32"/>
          <w:szCs w:val="32"/>
          <w:lang w:eastAsia="zh-CN"/>
        </w:rPr>
        <w:t>培养</w:t>
      </w:r>
      <w:r>
        <w:rPr>
          <w:rFonts w:ascii="仿宋_GB2312" w:eastAsia="仿宋_GB2312" w:hAnsi="仿宋_GB2312" w:cs="仿宋_GB2312"/>
          <w:snapToGrid/>
          <w:color w:val="000000" w:themeColor="text1"/>
          <w:kern w:val="2"/>
          <w:sz w:val="32"/>
          <w:szCs w:val="32"/>
          <w:lang w:eastAsia="zh-CN"/>
        </w:rPr>
        <w:t>兼具工程实践能力与创新素养的高层次应用型专业人才</w:t>
      </w:r>
      <w:r>
        <w:rPr>
          <w:rFonts w:ascii="仿宋_GB2312" w:eastAsia="仿宋_GB2312" w:hAnsi="仿宋_GB2312" w:cs="仿宋_GB2312" w:hint="eastAsia"/>
          <w:snapToGrid/>
          <w:color w:val="000000" w:themeColor="text1"/>
          <w:kern w:val="2"/>
          <w:sz w:val="32"/>
          <w:szCs w:val="32"/>
          <w:lang w:eastAsia="zh-CN"/>
        </w:rPr>
        <w:t>。</w:t>
      </w:r>
    </w:p>
    <w:p w14:paraId="7A56B1EA" w14:textId="77777777" w:rsidR="00AF43BD" w:rsidRDefault="00000000">
      <w:pPr>
        <w:widowControl w:val="0"/>
        <w:kinsoku/>
        <w:autoSpaceDE/>
        <w:autoSpaceDN/>
        <w:spacing w:beforeLines="50" w:before="120" w:line="560" w:lineRule="exact"/>
        <w:ind w:firstLine="562"/>
        <w:jc w:val="both"/>
        <w:textAlignment w:val="auto"/>
        <w:outlineLvl w:val="0"/>
        <w:rPr>
          <w:rFonts w:ascii="黑体" w:eastAsia="黑体" w:hAnsi="黑体" w:cs="黑体" w:hint="eastAsia"/>
          <w:b/>
          <w:snapToGrid/>
          <w:kern w:val="2"/>
          <w:sz w:val="32"/>
          <w:szCs w:val="32"/>
          <w:lang w:eastAsia="zh-CN"/>
        </w:rPr>
      </w:pPr>
      <w:r>
        <w:rPr>
          <w:rFonts w:ascii="黑体" w:eastAsia="黑体" w:hAnsi="黑体" w:cs="黑体" w:hint="eastAsia"/>
          <w:b/>
          <w:snapToGrid/>
          <w:kern w:val="2"/>
          <w:sz w:val="32"/>
          <w:szCs w:val="32"/>
          <w:lang w:eastAsia="zh-CN"/>
        </w:rPr>
        <w:t>二、培养定位及目标</w:t>
      </w:r>
    </w:p>
    <w:p w14:paraId="6AF458F6" w14:textId="77777777" w:rsidR="00AF43BD" w:rsidRDefault="00000000">
      <w:pPr>
        <w:widowControl w:val="0"/>
        <w:kinsoku/>
        <w:autoSpaceDE/>
        <w:autoSpaceDN/>
        <w:spacing w:beforeLines="50" w:before="120" w:line="560" w:lineRule="exact"/>
        <w:ind w:firstLine="562"/>
        <w:jc w:val="both"/>
        <w:textAlignment w:val="auto"/>
        <w:outlineLvl w:val="0"/>
        <w:rPr>
          <w:rFonts w:ascii="仿宋_GB2312" w:eastAsia="仿宋_GB2312" w:hAnsi="仿宋_GB2312" w:cs="仿宋_GB2312" w:hint="eastAsia"/>
          <w:snapToGrid/>
          <w:color w:val="000000" w:themeColor="text1"/>
          <w:kern w:val="2"/>
          <w:sz w:val="32"/>
          <w:szCs w:val="32"/>
          <w:lang w:eastAsia="zh-CN"/>
        </w:rPr>
      </w:pPr>
      <w:r>
        <w:rPr>
          <w:rFonts w:ascii="仿宋_GB2312" w:eastAsia="仿宋_GB2312" w:hAnsi="仿宋_GB2312" w:cs="仿宋_GB2312" w:hint="eastAsia"/>
          <w:snapToGrid/>
          <w:color w:val="000000" w:themeColor="text1"/>
          <w:kern w:val="2"/>
          <w:sz w:val="32"/>
          <w:szCs w:val="32"/>
          <w:lang w:eastAsia="zh-CN"/>
        </w:rPr>
        <w:t>材料与化工类别轻化工程领域专业学位博士研究生培养面</w:t>
      </w:r>
      <w:r>
        <w:rPr>
          <w:rFonts w:ascii="仿宋_GB2312" w:eastAsia="仿宋_GB2312" w:hAnsi="仿宋_GB2312" w:cs="仿宋_GB2312" w:hint="eastAsia"/>
          <w:snapToGrid/>
          <w:color w:val="000000" w:themeColor="text1"/>
          <w:kern w:val="2"/>
          <w:sz w:val="32"/>
          <w:szCs w:val="32"/>
          <w:lang w:eastAsia="zh-CN"/>
        </w:rPr>
        <w:lastRenderedPageBreak/>
        <w:t>向轻工技术领域国家、行业发展战略需求，坚持以习近平新时代中国特色社会主义思想为指导，落实立德树人根本任务，</w:t>
      </w:r>
      <w:r>
        <w:rPr>
          <w:rFonts w:ascii="仿宋_GB2312" w:eastAsia="仿宋_GB2312" w:hAnsi="仿宋_GB2312" w:cs="仿宋_GB2312" w:hint="eastAsia"/>
          <w:spacing w:val="5"/>
          <w:sz w:val="32"/>
          <w:szCs w:val="32"/>
          <w:lang w:eastAsia="zh-CN"/>
        </w:rPr>
        <w:t>培养爱党报国</w:t>
      </w:r>
      <w:r>
        <w:rPr>
          <w:rFonts w:ascii="仿宋_GB2312" w:eastAsia="仿宋_GB2312" w:hAnsi="仿宋_GB2312" w:cs="仿宋_GB2312" w:hint="eastAsia"/>
          <w:spacing w:val="4"/>
          <w:sz w:val="32"/>
          <w:szCs w:val="32"/>
          <w:lang w:eastAsia="zh-CN"/>
        </w:rPr>
        <w:t>、敬</w:t>
      </w:r>
      <w:r>
        <w:rPr>
          <w:rFonts w:ascii="仿宋_GB2312" w:eastAsia="仿宋_GB2312" w:hAnsi="仿宋_GB2312" w:cs="仿宋_GB2312" w:hint="eastAsia"/>
          <w:spacing w:val="11"/>
          <w:sz w:val="32"/>
          <w:szCs w:val="32"/>
          <w:lang w:eastAsia="zh-CN"/>
        </w:rPr>
        <w:t>业奉献，掌握本专业领域坚实全面的基础理论</w:t>
      </w:r>
      <w:r>
        <w:rPr>
          <w:rFonts w:ascii="仿宋_GB2312" w:eastAsia="仿宋_GB2312" w:hAnsi="仿宋_GB2312" w:cs="仿宋_GB2312" w:hint="eastAsia"/>
          <w:spacing w:val="10"/>
          <w:sz w:val="32"/>
          <w:szCs w:val="32"/>
          <w:lang w:eastAsia="zh-CN"/>
        </w:rPr>
        <w:t>和系统深入的</w:t>
      </w:r>
      <w:r>
        <w:rPr>
          <w:rFonts w:ascii="仿宋_GB2312" w:eastAsia="仿宋_GB2312" w:hAnsi="仿宋_GB2312" w:cs="仿宋_GB2312" w:hint="eastAsia"/>
          <w:spacing w:val="8"/>
          <w:sz w:val="32"/>
          <w:szCs w:val="32"/>
          <w:lang w:eastAsia="zh-CN"/>
        </w:rPr>
        <w:t>专门知识，</w:t>
      </w:r>
      <w:r>
        <w:rPr>
          <w:rFonts w:ascii="仿宋_GB2312" w:eastAsia="仿宋_GB2312" w:hAnsi="仿宋_GB2312" w:cs="仿宋_GB2312" w:hint="eastAsia"/>
          <w:snapToGrid/>
          <w:color w:val="000000" w:themeColor="text1"/>
          <w:kern w:val="2"/>
          <w:sz w:val="32"/>
          <w:szCs w:val="32"/>
          <w:lang w:eastAsia="zh-CN"/>
        </w:rPr>
        <w:t>突出工程性、创新性、实践性</w:t>
      </w:r>
      <w:r>
        <w:rPr>
          <w:rFonts w:ascii="仿宋_GB2312" w:eastAsia="仿宋_GB2312" w:hAnsi="仿宋_GB2312" w:cs="仿宋_GB2312" w:hint="eastAsia"/>
          <w:spacing w:val="5"/>
          <w:sz w:val="32"/>
          <w:szCs w:val="32"/>
          <w:lang w:eastAsia="zh-CN"/>
        </w:rPr>
        <w:t>和应用性，</w:t>
      </w:r>
      <w:r>
        <w:rPr>
          <w:rFonts w:ascii="仿宋_GB2312" w:eastAsia="仿宋_GB2312" w:hAnsi="仿宋_GB2312" w:cs="仿宋_GB2312" w:hint="eastAsia"/>
          <w:spacing w:val="8"/>
          <w:sz w:val="32"/>
          <w:szCs w:val="32"/>
          <w:lang w:eastAsia="zh-CN"/>
        </w:rPr>
        <w:t>具有系统工程思维和突出工程技术创新能力、善于解决复杂工程问题的未来工程技术领军人才</w:t>
      </w:r>
      <w:r>
        <w:rPr>
          <w:rFonts w:ascii="仿宋_GB2312" w:eastAsia="仿宋_GB2312" w:hAnsi="仿宋_GB2312" w:cs="仿宋_GB2312" w:hint="eastAsia"/>
          <w:snapToGrid/>
          <w:color w:val="000000" w:themeColor="text1"/>
          <w:kern w:val="2"/>
          <w:sz w:val="32"/>
          <w:szCs w:val="32"/>
          <w:lang w:eastAsia="zh-CN"/>
        </w:rPr>
        <w:t>。</w:t>
      </w:r>
    </w:p>
    <w:p w14:paraId="3B05D86B"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napToGrid/>
          <w:color w:val="000000" w:themeColor="text1"/>
          <w:kern w:val="2"/>
          <w:sz w:val="32"/>
          <w:szCs w:val="32"/>
          <w:lang w:eastAsia="zh-CN"/>
        </w:rPr>
      </w:pPr>
      <w:r>
        <w:rPr>
          <w:rFonts w:ascii="仿宋_GB2312" w:eastAsia="仿宋_GB2312" w:hAnsi="仿宋_GB2312" w:cs="仿宋_GB2312" w:hint="eastAsia"/>
          <w:snapToGrid/>
          <w:color w:val="000000" w:themeColor="text1"/>
          <w:kern w:val="2"/>
          <w:sz w:val="32"/>
          <w:szCs w:val="32"/>
          <w:lang w:eastAsia="zh-CN"/>
        </w:rPr>
        <w:t>具体要求为：</w:t>
      </w:r>
    </w:p>
    <w:p w14:paraId="6A4C4EDF"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napToGrid/>
          <w:color w:val="000000" w:themeColor="text1"/>
          <w:kern w:val="2"/>
          <w:sz w:val="32"/>
          <w:szCs w:val="32"/>
          <w:lang w:eastAsia="zh-CN"/>
        </w:rPr>
      </w:pPr>
      <w:r>
        <w:rPr>
          <w:rFonts w:ascii="仿宋_GB2312" w:eastAsia="仿宋_GB2312" w:hAnsi="仿宋_GB2312" w:cs="仿宋_GB2312" w:hint="eastAsia"/>
          <w:snapToGrid/>
          <w:color w:val="000000" w:themeColor="text1"/>
          <w:kern w:val="2"/>
          <w:sz w:val="32"/>
          <w:szCs w:val="32"/>
          <w:lang w:eastAsia="zh-CN"/>
        </w:rPr>
        <w:t>1.拥护中国共产党领导，热爱祖国，遵纪守法，具有服务国家和人民的高度社会责任感、良好的职业道德和创业精神、科学严谨的学习态度和求真务实</w:t>
      </w:r>
      <w:r>
        <w:rPr>
          <w:rFonts w:ascii="仿宋_GB2312" w:eastAsia="仿宋_GB2312" w:hAnsi="仿宋_GB2312" w:cs="仿宋_GB2312" w:hint="eastAsia"/>
          <w:spacing w:val="9"/>
          <w:sz w:val="32"/>
          <w:szCs w:val="32"/>
          <w:lang w:eastAsia="zh-CN"/>
        </w:rPr>
        <w:t>的工作作风，具有跨文</w:t>
      </w:r>
      <w:r>
        <w:rPr>
          <w:rFonts w:ascii="仿宋_GB2312" w:eastAsia="仿宋_GB2312" w:hAnsi="仿宋_GB2312" w:cs="仿宋_GB2312" w:hint="eastAsia"/>
          <w:spacing w:val="3"/>
          <w:sz w:val="32"/>
          <w:szCs w:val="32"/>
          <w:lang w:eastAsia="zh-CN"/>
        </w:rPr>
        <w:t>化交流的能力，国际视野宽</w:t>
      </w:r>
      <w:r>
        <w:rPr>
          <w:rFonts w:ascii="仿宋_GB2312" w:eastAsia="仿宋_GB2312" w:hAnsi="仿宋_GB2312" w:cs="仿宋_GB2312" w:hint="eastAsia"/>
          <w:snapToGrid/>
          <w:color w:val="000000" w:themeColor="text1"/>
          <w:kern w:val="2"/>
          <w:sz w:val="32"/>
          <w:szCs w:val="32"/>
          <w:lang w:eastAsia="zh-CN"/>
        </w:rPr>
        <w:t>广，身心健康。</w:t>
      </w:r>
    </w:p>
    <w:p w14:paraId="0C7A9E3A"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napToGrid/>
          <w:color w:val="000000" w:themeColor="text1"/>
          <w:kern w:val="2"/>
          <w:sz w:val="32"/>
          <w:szCs w:val="32"/>
          <w:lang w:eastAsia="zh-CN"/>
        </w:rPr>
      </w:pPr>
      <w:r>
        <w:rPr>
          <w:rFonts w:ascii="仿宋_GB2312" w:eastAsia="仿宋_GB2312" w:hAnsi="仿宋_GB2312" w:cs="仿宋_GB2312" w:hint="eastAsia"/>
          <w:snapToGrid/>
          <w:color w:val="000000" w:themeColor="text1"/>
          <w:kern w:val="2"/>
          <w:sz w:val="32"/>
          <w:szCs w:val="32"/>
          <w:lang w:eastAsia="zh-CN"/>
        </w:rPr>
        <w:t>2.在本专业领域</w:t>
      </w:r>
      <w:r>
        <w:rPr>
          <w:rFonts w:ascii="仿宋_GB2312" w:eastAsia="仿宋_GB2312" w:hAnsi="仿宋_GB2312" w:cs="仿宋_GB2312" w:hint="eastAsia"/>
          <w:spacing w:val="6"/>
          <w:sz w:val="32"/>
          <w:szCs w:val="32"/>
          <w:lang w:eastAsia="zh-CN"/>
        </w:rPr>
        <w:t>掌握坚实全面的基础理论和系统深入的</w:t>
      </w:r>
      <w:r>
        <w:rPr>
          <w:rFonts w:ascii="仿宋_GB2312" w:eastAsia="仿宋_GB2312" w:hAnsi="仿宋_GB2312" w:cs="仿宋_GB2312" w:hint="eastAsia"/>
          <w:spacing w:val="11"/>
          <w:sz w:val="32"/>
          <w:szCs w:val="32"/>
          <w:lang w:eastAsia="zh-CN"/>
        </w:rPr>
        <w:t>专门知识，具备系统工程思维和独立承担专业实践工作</w:t>
      </w:r>
      <w:r>
        <w:rPr>
          <w:rFonts w:ascii="仿宋_GB2312" w:eastAsia="仿宋_GB2312" w:hAnsi="仿宋_GB2312" w:cs="仿宋_GB2312" w:hint="eastAsia"/>
          <w:spacing w:val="10"/>
          <w:sz w:val="32"/>
          <w:szCs w:val="32"/>
          <w:lang w:eastAsia="zh-CN"/>
        </w:rPr>
        <w:t>的能</w:t>
      </w:r>
      <w:r>
        <w:rPr>
          <w:rFonts w:ascii="仿宋_GB2312" w:eastAsia="仿宋_GB2312" w:hAnsi="仿宋_GB2312" w:cs="仿宋_GB2312" w:hint="eastAsia"/>
          <w:spacing w:val="9"/>
          <w:sz w:val="32"/>
          <w:szCs w:val="32"/>
          <w:lang w:eastAsia="zh-CN"/>
        </w:rPr>
        <w:t>力，在本专业领</w:t>
      </w:r>
      <w:r>
        <w:rPr>
          <w:rFonts w:ascii="仿宋_GB2312" w:eastAsia="仿宋_GB2312" w:hAnsi="仿宋_GB2312" w:cs="仿宋_GB2312" w:hint="eastAsia"/>
          <w:snapToGrid/>
          <w:color w:val="000000" w:themeColor="text1"/>
          <w:kern w:val="2"/>
          <w:sz w:val="32"/>
          <w:szCs w:val="32"/>
          <w:lang w:eastAsia="zh-CN"/>
        </w:rPr>
        <w:t>域取得创新性成果，对推动专业领域知识和技术发展作出贡献。</w:t>
      </w:r>
    </w:p>
    <w:p w14:paraId="5714C90C" w14:textId="77777777" w:rsidR="00AF43BD" w:rsidRDefault="00000000">
      <w:pPr>
        <w:widowControl w:val="0"/>
        <w:kinsoku/>
        <w:autoSpaceDE/>
        <w:autoSpaceDN/>
        <w:spacing w:line="560" w:lineRule="exact"/>
        <w:ind w:firstLineChars="200" w:firstLine="643"/>
        <w:jc w:val="both"/>
        <w:textAlignment w:val="auto"/>
        <w:outlineLvl w:val="0"/>
        <w:rPr>
          <w:rFonts w:ascii="仿宋_GB2312" w:eastAsia="仿宋_GB2312" w:hAnsi="仿宋_GB2312" w:cs="仿宋_GB2312" w:hint="eastAsia"/>
          <w:b/>
          <w:sz w:val="32"/>
          <w:szCs w:val="32"/>
          <w:lang w:eastAsia="zh-CN"/>
        </w:rPr>
      </w:pPr>
      <w:r>
        <w:rPr>
          <w:rFonts w:ascii="黑体" w:eastAsia="黑体" w:hAnsi="黑体" w:cs="黑体" w:hint="eastAsia"/>
          <w:b/>
          <w:bCs/>
          <w:snapToGrid/>
          <w:color w:val="000000" w:themeColor="text1"/>
          <w:kern w:val="2"/>
          <w:sz w:val="32"/>
          <w:szCs w:val="32"/>
          <w:lang w:eastAsia="zh-CN"/>
        </w:rPr>
        <w:t>三、培养方向</w:t>
      </w:r>
    </w:p>
    <w:p w14:paraId="5371B11E" w14:textId="77777777" w:rsidR="00AF43BD" w:rsidRDefault="00000000">
      <w:pPr>
        <w:numPr>
          <w:ilvl w:val="255"/>
          <w:numId w:val="0"/>
        </w:numPr>
        <w:adjustRightInd/>
        <w:snapToGrid/>
        <w:spacing w:before="156" w:line="560" w:lineRule="exact"/>
        <w:ind w:firstLineChars="200" w:firstLine="640"/>
        <w:jc w:val="both"/>
        <w:rPr>
          <w:rFonts w:ascii="仿宋_GB2312" w:eastAsia="仿宋_GB2312" w:hAnsi="仿宋_GB2312" w:cs="仿宋_GB2312" w:hint="eastAsia"/>
          <w:bCs/>
          <w:sz w:val="32"/>
          <w:szCs w:val="32"/>
          <w:lang w:eastAsia="zh-CN"/>
        </w:rPr>
      </w:pPr>
      <w:r>
        <w:rPr>
          <w:rFonts w:ascii="仿宋_GB2312" w:eastAsia="仿宋_GB2312" w:hAnsi="仿宋_GB2312" w:cs="仿宋_GB2312" w:hint="eastAsia"/>
          <w:bCs/>
          <w:sz w:val="32"/>
          <w:szCs w:val="32"/>
          <w:lang w:eastAsia="zh-CN"/>
        </w:rPr>
        <w:t>1.生物基功能材料</w:t>
      </w:r>
    </w:p>
    <w:p w14:paraId="4BA4AAFB" w14:textId="77777777" w:rsidR="00AF43BD" w:rsidRDefault="00000000">
      <w:pPr>
        <w:numPr>
          <w:ilvl w:val="255"/>
          <w:numId w:val="0"/>
        </w:numPr>
        <w:adjustRightInd/>
        <w:snapToGrid/>
        <w:spacing w:before="156" w:line="560" w:lineRule="exact"/>
        <w:ind w:firstLineChars="200" w:firstLine="640"/>
        <w:jc w:val="both"/>
        <w:rPr>
          <w:rFonts w:ascii="仿宋" w:eastAsia="仿宋" w:hAnsi="仿宋" w:cs="仿宋_GB2312" w:hint="eastAsia"/>
          <w:bCs/>
          <w:sz w:val="32"/>
          <w:szCs w:val="32"/>
          <w:lang w:eastAsia="zh-CN"/>
        </w:rPr>
      </w:pPr>
      <w:r>
        <w:rPr>
          <w:rFonts w:ascii="仿宋" w:eastAsia="仿宋" w:hAnsi="仿宋" w:cs="仿宋_GB2312" w:hint="eastAsia"/>
          <w:bCs/>
          <w:sz w:val="32"/>
          <w:szCs w:val="32"/>
          <w:lang w:eastAsia="zh-CN"/>
        </w:rPr>
        <w:t>研究植物资源细胞的超微结构和化学组分分布；生物质组分的高效、清洁分离技术及其化学表征；植物纤维制浆造纸过程生物技术；植物资源化学工程与木质纤维基功能材料；纸浆纤维的酶法改性和调控技术；生物质精炼过程绿色化学技术及酶制剂调控技术；造纸湿部生物调控技术；新型造纸化学品开发与应用；生物基功能纸和功能助剂的制备工艺技术。</w:t>
      </w:r>
    </w:p>
    <w:p w14:paraId="07404C48" w14:textId="77777777" w:rsidR="00AF43BD" w:rsidRDefault="00000000">
      <w:pPr>
        <w:numPr>
          <w:ilvl w:val="255"/>
          <w:numId w:val="0"/>
        </w:numPr>
        <w:adjustRightInd/>
        <w:snapToGrid/>
        <w:spacing w:before="156" w:line="560" w:lineRule="exact"/>
        <w:ind w:firstLineChars="200" w:firstLine="640"/>
        <w:jc w:val="both"/>
        <w:rPr>
          <w:rFonts w:ascii="仿宋_GB2312" w:eastAsia="仿宋_GB2312" w:hAnsi="仿宋_GB2312" w:cs="仿宋_GB2312" w:hint="eastAsia"/>
          <w:bCs/>
          <w:sz w:val="32"/>
          <w:szCs w:val="32"/>
          <w:lang w:eastAsia="zh-CN"/>
        </w:rPr>
      </w:pPr>
      <w:r>
        <w:rPr>
          <w:rFonts w:ascii="仿宋_GB2312" w:eastAsia="仿宋_GB2312" w:hAnsi="仿宋_GB2312" w:cs="仿宋_GB2312" w:hint="eastAsia"/>
          <w:bCs/>
          <w:sz w:val="32"/>
          <w:szCs w:val="32"/>
          <w:lang w:eastAsia="zh-CN"/>
        </w:rPr>
        <w:t>2.生物质能源与器件</w:t>
      </w:r>
    </w:p>
    <w:p w14:paraId="48BB2B9D" w14:textId="77777777" w:rsidR="00AF43BD" w:rsidRDefault="00000000">
      <w:pPr>
        <w:numPr>
          <w:ilvl w:val="255"/>
          <w:numId w:val="0"/>
        </w:numPr>
        <w:adjustRightInd/>
        <w:snapToGrid/>
        <w:spacing w:before="156" w:line="560" w:lineRule="exact"/>
        <w:ind w:firstLineChars="200" w:firstLine="640"/>
        <w:jc w:val="both"/>
        <w:rPr>
          <w:rFonts w:ascii="仿宋" w:eastAsia="仿宋" w:hAnsi="仿宋" w:cs="仿宋_GB2312" w:hint="eastAsia"/>
          <w:bCs/>
          <w:sz w:val="32"/>
          <w:szCs w:val="32"/>
          <w:lang w:eastAsia="zh-CN"/>
        </w:rPr>
      </w:pPr>
      <w:r>
        <w:rPr>
          <w:rFonts w:ascii="仿宋" w:eastAsia="仿宋" w:hAnsi="仿宋" w:cs="仿宋_GB2312" w:hint="eastAsia"/>
          <w:bCs/>
          <w:sz w:val="32"/>
          <w:szCs w:val="32"/>
          <w:lang w:eastAsia="zh-CN"/>
        </w:rPr>
        <w:lastRenderedPageBreak/>
        <w:t>研究生物质能源转换技术、原理、工艺及其工程应用；新型生物质基储能材料及器件制备技术；新型生物质光、电、磁功能器件开发及应用技术；生物质主流组分的衍生改性及复合材料制备技术；生物质组分转化技术；生物质功能性化学品开发；生物质酶催化机制分析；生物质组分调控及新能源材料与器件开发技术。</w:t>
      </w:r>
    </w:p>
    <w:p w14:paraId="4F850E7C" w14:textId="77777777" w:rsidR="00AF43BD" w:rsidRDefault="00000000">
      <w:pPr>
        <w:numPr>
          <w:ilvl w:val="255"/>
          <w:numId w:val="0"/>
        </w:numPr>
        <w:adjustRightInd/>
        <w:snapToGrid/>
        <w:spacing w:before="156" w:line="560" w:lineRule="exact"/>
        <w:ind w:firstLineChars="200" w:firstLine="640"/>
        <w:jc w:val="both"/>
        <w:rPr>
          <w:rFonts w:ascii="仿宋_GB2312" w:eastAsia="仿宋_GB2312" w:hAnsi="仿宋_GB2312" w:cs="仿宋_GB2312" w:hint="eastAsia"/>
          <w:bCs/>
          <w:sz w:val="32"/>
          <w:szCs w:val="32"/>
          <w:lang w:eastAsia="zh-CN"/>
        </w:rPr>
      </w:pPr>
      <w:r>
        <w:rPr>
          <w:rFonts w:ascii="仿宋_GB2312" w:eastAsia="仿宋_GB2312" w:hAnsi="仿宋_GB2312" w:cs="仿宋_GB2312" w:hint="eastAsia"/>
          <w:bCs/>
          <w:sz w:val="32"/>
          <w:szCs w:val="32"/>
          <w:lang w:eastAsia="zh-CN"/>
        </w:rPr>
        <w:t>3.现代轻工技术与工程</w:t>
      </w:r>
    </w:p>
    <w:p w14:paraId="3E898CD4" w14:textId="77777777" w:rsidR="00AF43BD" w:rsidRDefault="00000000">
      <w:pPr>
        <w:numPr>
          <w:ilvl w:val="255"/>
          <w:numId w:val="0"/>
        </w:numPr>
        <w:adjustRightInd/>
        <w:snapToGrid/>
        <w:spacing w:before="156" w:line="560" w:lineRule="exact"/>
        <w:ind w:firstLineChars="200" w:firstLine="640"/>
        <w:jc w:val="both"/>
        <w:rPr>
          <w:rFonts w:ascii="仿宋" w:eastAsia="仿宋" w:hAnsi="仿宋" w:cs="仿宋_GB2312" w:hint="eastAsia"/>
          <w:bCs/>
          <w:sz w:val="32"/>
          <w:szCs w:val="32"/>
          <w:lang w:eastAsia="zh-CN"/>
        </w:rPr>
      </w:pPr>
      <w:r>
        <w:rPr>
          <w:rFonts w:ascii="仿宋" w:eastAsia="仿宋" w:hAnsi="仿宋" w:cs="仿宋_GB2312" w:hint="eastAsia"/>
          <w:bCs/>
          <w:sz w:val="32"/>
          <w:szCs w:val="32"/>
          <w:lang w:eastAsia="zh-CN"/>
        </w:rPr>
        <w:t>研究制革生产过程中的生态设计及绿色生产技术；制革废弃物的安全处置及资源化利用技术；新型胶原基材料的研究与开发；新型制革化工材料的设计、开发及绿色生产技术；合成革加工的基本理论及绿色生产技术。印刷包装新材料的制备、分析和应用技术，绿色印刷和智能包装新工艺；研究印刷电子相关材料和技术；研究印刷图像的数字处理技术及3D打印技术；研究图像传播中色彩管理技术、印刷复制配色技术和颜色复制质量评价等；研究印刷包装设备检测与控制、印刷品质量机器视觉检测关键技术。</w:t>
      </w:r>
    </w:p>
    <w:p w14:paraId="3DEC7C6E" w14:textId="77777777" w:rsidR="00AF43BD" w:rsidRDefault="00000000">
      <w:pPr>
        <w:widowControl w:val="0"/>
        <w:kinsoku/>
        <w:autoSpaceDE/>
        <w:autoSpaceDN/>
        <w:spacing w:line="560" w:lineRule="exact"/>
        <w:ind w:firstLineChars="200" w:firstLine="643"/>
        <w:jc w:val="both"/>
        <w:textAlignment w:val="auto"/>
        <w:outlineLvl w:val="0"/>
        <w:rPr>
          <w:rFonts w:ascii="黑体" w:eastAsia="黑体" w:hAnsi="黑体" w:cs="黑体" w:hint="eastAsia"/>
          <w:b/>
          <w:bCs/>
          <w:snapToGrid/>
          <w:color w:val="000000" w:themeColor="text1"/>
          <w:kern w:val="2"/>
          <w:sz w:val="32"/>
          <w:szCs w:val="32"/>
          <w:lang w:eastAsia="zh-CN"/>
        </w:rPr>
      </w:pPr>
      <w:r>
        <w:rPr>
          <w:rFonts w:ascii="黑体" w:eastAsia="黑体" w:hAnsi="黑体" w:cs="黑体" w:hint="eastAsia"/>
          <w:b/>
          <w:bCs/>
          <w:snapToGrid/>
          <w:color w:val="000000" w:themeColor="text1"/>
          <w:kern w:val="2"/>
          <w:sz w:val="32"/>
          <w:szCs w:val="32"/>
          <w:lang w:eastAsia="zh-CN"/>
        </w:rPr>
        <w:t>四、学习方式及修业年限</w:t>
      </w:r>
    </w:p>
    <w:p w14:paraId="346E5284" w14:textId="77777777" w:rsidR="00AF43BD" w:rsidRDefault="00000000">
      <w:pPr>
        <w:widowControl w:val="0"/>
        <w:kinsoku/>
        <w:autoSpaceDE/>
        <w:autoSpaceDN/>
        <w:spacing w:line="560" w:lineRule="exact"/>
        <w:ind w:firstLineChars="200" w:firstLine="662"/>
        <w:jc w:val="both"/>
        <w:textAlignment w:val="auto"/>
        <w:outlineLvl w:val="0"/>
        <w:rPr>
          <w:rFonts w:ascii="仿宋_GB2312" w:eastAsia="仿宋_GB2312" w:hAnsi="仿宋_GB2312" w:cs="仿宋_GB2312" w:hint="eastAsia"/>
          <w:spacing w:val="11"/>
          <w:sz w:val="32"/>
          <w:szCs w:val="32"/>
          <w:lang w:eastAsia="zh-CN"/>
        </w:rPr>
      </w:pPr>
      <w:r>
        <w:rPr>
          <w:rFonts w:ascii="仿宋_GB2312" w:eastAsia="仿宋_GB2312" w:hAnsi="仿宋_GB2312" w:cs="仿宋_GB2312" w:hint="eastAsia"/>
          <w:spacing w:val="11"/>
          <w:sz w:val="32"/>
          <w:szCs w:val="32"/>
          <w:lang w:eastAsia="zh-CN"/>
        </w:rPr>
        <w:t>采用全日制学习方式，学制为4年，最长学习年限（含休学）为7年。</w:t>
      </w:r>
    </w:p>
    <w:p w14:paraId="07606188" w14:textId="77777777" w:rsidR="00AF43BD" w:rsidRDefault="00000000">
      <w:pPr>
        <w:widowControl w:val="0"/>
        <w:kinsoku/>
        <w:autoSpaceDE/>
        <w:autoSpaceDN/>
        <w:spacing w:line="560" w:lineRule="exact"/>
        <w:ind w:firstLineChars="200" w:firstLine="643"/>
        <w:jc w:val="both"/>
        <w:textAlignment w:val="auto"/>
        <w:outlineLvl w:val="0"/>
        <w:rPr>
          <w:rFonts w:ascii="黑体" w:eastAsia="黑体" w:hAnsi="黑体" w:cs="黑体" w:hint="eastAsia"/>
          <w:b/>
          <w:bCs/>
          <w:snapToGrid/>
          <w:color w:val="000000" w:themeColor="text1"/>
          <w:kern w:val="2"/>
          <w:sz w:val="32"/>
          <w:szCs w:val="32"/>
          <w:lang w:eastAsia="zh-CN"/>
        </w:rPr>
      </w:pPr>
      <w:r>
        <w:rPr>
          <w:rFonts w:ascii="黑体" w:eastAsia="黑体" w:hAnsi="黑体" w:cs="黑体" w:hint="eastAsia"/>
          <w:b/>
          <w:bCs/>
          <w:snapToGrid/>
          <w:color w:val="000000" w:themeColor="text1"/>
          <w:kern w:val="2"/>
          <w:sz w:val="32"/>
          <w:szCs w:val="32"/>
          <w:lang w:eastAsia="zh-CN"/>
        </w:rPr>
        <w:t>五、培养方式及导师指导</w:t>
      </w:r>
    </w:p>
    <w:p w14:paraId="178A4E23"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pacing w:val="11"/>
          <w:sz w:val="32"/>
          <w:szCs w:val="32"/>
          <w:lang w:eastAsia="zh-CN"/>
        </w:rPr>
      </w:pPr>
      <w:r>
        <w:rPr>
          <w:rFonts w:ascii="仿宋_GB2312" w:eastAsia="仿宋_GB2312" w:hAnsi="仿宋_GB2312" w:cs="仿宋_GB2312" w:hint="eastAsia"/>
          <w:snapToGrid/>
          <w:color w:val="000000" w:themeColor="text1"/>
          <w:kern w:val="2"/>
          <w:sz w:val="32"/>
          <w:szCs w:val="32"/>
          <w:lang w:eastAsia="zh-CN"/>
        </w:rPr>
        <w:t>采用课程学习、专业实践、学位论文或申请学位实践成果工作相结合的培养方式，</w:t>
      </w:r>
      <w:r>
        <w:rPr>
          <w:rFonts w:ascii="仿宋_GB2312" w:eastAsia="仿宋_GB2312" w:hAnsi="仿宋_GB2312" w:cs="仿宋_GB2312" w:hint="eastAsia"/>
          <w:spacing w:val="11"/>
          <w:sz w:val="32"/>
          <w:szCs w:val="32"/>
          <w:lang w:eastAsia="zh-CN"/>
        </w:rPr>
        <w:t>依托相关专业领域重要工程项目，开展校企联合培养。</w:t>
      </w:r>
    </w:p>
    <w:p w14:paraId="2FE4633E" w14:textId="77777777" w:rsidR="00AF43BD" w:rsidRDefault="00000000">
      <w:pPr>
        <w:pStyle w:val="a4"/>
        <w:spacing w:before="4" w:line="560" w:lineRule="exact"/>
        <w:ind w:left="26" w:firstLine="660"/>
        <w:jc w:val="both"/>
        <w:rPr>
          <w:rFonts w:ascii="仿宋_GB2312" w:eastAsia="仿宋_GB2312" w:hAnsi="仿宋_GB2312" w:cs="仿宋_GB2312" w:hint="eastAsia"/>
          <w:spacing w:val="5"/>
          <w:sz w:val="32"/>
          <w:szCs w:val="32"/>
          <w:lang w:eastAsia="zh-CN"/>
        </w:rPr>
      </w:pPr>
      <w:r>
        <w:rPr>
          <w:rFonts w:ascii="仿宋_GB2312" w:eastAsia="仿宋_GB2312" w:hAnsi="仿宋_GB2312" w:cs="仿宋_GB2312" w:hint="eastAsia"/>
          <w:spacing w:val="11"/>
          <w:sz w:val="32"/>
          <w:szCs w:val="32"/>
          <w:lang w:eastAsia="zh-CN"/>
        </w:rPr>
        <w:lastRenderedPageBreak/>
        <w:t>1.课程学</w:t>
      </w:r>
      <w:r>
        <w:rPr>
          <w:rFonts w:ascii="仿宋_GB2312" w:eastAsia="仿宋_GB2312" w:hAnsi="仿宋_GB2312" w:cs="仿宋_GB2312" w:hint="eastAsia"/>
          <w:spacing w:val="-5"/>
          <w:sz w:val="32"/>
          <w:szCs w:val="32"/>
          <w:lang w:eastAsia="zh-CN"/>
        </w:rPr>
        <w:t>习一般在培养单位完成，时间应不少于0.5</w:t>
      </w:r>
      <w:r>
        <w:rPr>
          <w:rFonts w:ascii="仿宋_GB2312" w:eastAsia="仿宋_GB2312" w:hAnsi="仿宋_GB2312" w:cs="仿宋_GB2312" w:hint="eastAsia"/>
          <w:spacing w:val="-6"/>
          <w:sz w:val="32"/>
          <w:szCs w:val="32"/>
          <w:lang w:eastAsia="zh-CN"/>
        </w:rPr>
        <w:t>年，</w:t>
      </w:r>
      <w:r>
        <w:rPr>
          <w:rFonts w:ascii="仿宋_GB2312" w:eastAsia="仿宋_GB2312" w:hAnsi="仿宋_GB2312" w:cs="仿宋_GB2312" w:hint="eastAsia"/>
          <w:spacing w:val="7"/>
          <w:sz w:val="32"/>
          <w:szCs w:val="32"/>
          <w:lang w:eastAsia="zh-CN"/>
        </w:rPr>
        <w:t>其中前沿技术课、校企联合课、工程案例课可邀请企业专家</w:t>
      </w:r>
      <w:r>
        <w:rPr>
          <w:rFonts w:ascii="仿宋_GB2312" w:eastAsia="仿宋_GB2312" w:hAnsi="仿宋_GB2312" w:cs="仿宋_GB2312" w:hint="eastAsia"/>
          <w:spacing w:val="5"/>
          <w:sz w:val="32"/>
          <w:szCs w:val="32"/>
          <w:lang w:eastAsia="zh-CN"/>
        </w:rPr>
        <w:t>参与授课。</w:t>
      </w:r>
    </w:p>
    <w:p w14:paraId="67C002C9" w14:textId="77777777" w:rsidR="00AF43BD" w:rsidRDefault="00000000">
      <w:pPr>
        <w:pStyle w:val="a4"/>
        <w:spacing w:before="4" w:line="560" w:lineRule="exact"/>
        <w:ind w:left="26" w:firstLine="660"/>
        <w:jc w:val="both"/>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2.</w:t>
      </w:r>
      <w:r>
        <w:rPr>
          <w:rFonts w:ascii="仿宋_GB2312" w:eastAsia="仿宋_GB2312" w:hAnsi="仿宋_GB2312" w:cs="仿宋_GB2312" w:hint="eastAsia"/>
          <w:spacing w:val="3"/>
          <w:sz w:val="32"/>
          <w:szCs w:val="32"/>
          <w:lang w:eastAsia="zh-CN"/>
        </w:rPr>
        <w:t>专业实践是博士研究生培养的必修环节，是研究生结</w:t>
      </w:r>
      <w:r>
        <w:rPr>
          <w:rFonts w:ascii="仿宋_GB2312" w:eastAsia="仿宋_GB2312" w:hAnsi="仿宋_GB2312" w:cs="仿宋_GB2312" w:hint="eastAsia"/>
          <w:spacing w:val="10"/>
          <w:sz w:val="32"/>
          <w:szCs w:val="32"/>
          <w:lang w:eastAsia="zh-CN"/>
        </w:rPr>
        <w:t>合工程实际开展学位论文工作或实施实践成果的重要阶段，可采用集中和分段实践相结合的方式，可结合工程技术项目</w:t>
      </w:r>
      <w:r>
        <w:rPr>
          <w:rFonts w:ascii="仿宋_GB2312" w:eastAsia="仿宋_GB2312" w:hAnsi="仿宋_GB2312" w:cs="仿宋_GB2312" w:hint="eastAsia"/>
          <w:spacing w:val="9"/>
          <w:sz w:val="32"/>
          <w:szCs w:val="32"/>
          <w:lang w:eastAsia="zh-CN"/>
        </w:rPr>
        <w:t>开展，也可与学位论文或实践成果工作同步开展，累计实践</w:t>
      </w:r>
      <w:r>
        <w:rPr>
          <w:rFonts w:ascii="仿宋_GB2312" w:eastAsia="仿宋_GB2312" w:hAnsi="仿宋_GB2312" w:cs="仿宋_GB2312" w:hint="eastAsia"/>
          <w:sz w:val="32"/>
          <w:szCs w:val="32"/>
          <w:lang w:eastAsia="zh-CN"/>
        </w:rPr>
        <w:t>时间应不少于1年。</w:t>
      </w:r>
    </w:p>
    <w:p w14:paraId="4C37BAE0" w14:textId="77777777" w:rsidR="00AF43BD" w:rsidRDefault="00000000">
      <w:pPr>
        <w:pStyle w:val="a4"/>
        <w:spacing w:before="9" w:line="560" w:lineRule="exact"/>
        <w:ind w:left="23" w:right="83" w:firstLine="668"/>
        <w:jc w:val="both"/>
        <w:rPr>
          <w:rFonts w:ascii="仿宋_GB2312" w:eastAsia="仿宋_GB2312" w:hAnsi="仿宋_GB2312" w:cs="仿宋_GB2312" w:hint="eastAsia"/>
          <w:spacing w:val="4"/>
          <w:sz w:val="32"/>
          <w:szCs w:val="32"/>
          <w:lang w:eastAsia="zh-CN"/>
        </w:rPr>
      </w:pPr>
      <w:r>
        <w:rPr>
          <w:rFonts w:ascii="仿宋_GB2312" w:eastAsia="仿宋_GB2312" w:hAnsi="仿宋_GB2312" w:cs="仿宋_GB2312" w:hint="eastAsia"/>
          <w:spacing w:val="4"/>
          <w:sz w:val="32"/>
          <w:szCs w:val="32"/>
          <w:lang w:eastAsia="zh-CN"/>
        </w:rPr>
        <w:t>3.学位论文或申请学位实践成果是博士研究生申请学位</w:t>
      </w:r>
      <w:r>
        <w:rPr>
          <w:rFonts w:ascii="仿宋_GB2312" w:eastAsia="仿宋_GB2312" w:hAnsi="仿宋_GB2312" w:cs="仿宋_GB2312" w:hint="eastAsia"/>
          <w:spacing w:val="10"/>
          <w:sz w:val="32"/>
          <w:szCs w:val="32"/>
          <w:lang w:eastAsia="zh-CN"/>
        </w:rPr>
        <w:t>的主要依据，其中学位论文选题应直接来源于工程实际，依</w:t>
      </w:r>
      <w:r>
        <w:rPr>
          <w:rFonts w:ascii="仿宋_GB2312" w:eastAsia="仿宋_GB2312" w:hAnsi="仿宋_GB2312" w:cs="仿宋_GB2312" w:hint="eastAsia"/>
          <w:spacing w:val="9"/>
          <w:sz w:val="32"/>
          <w:szCs w:val="32"/>
          <w:lang w:eastAsia="zh-CN"/>
        </w:rPr>
        <w:t>托重要工程项目开展，申请学位实践成果应聚焦工程实</w:t>
      </w:r>
      <w:r>
        <w:rPr>
          <w:rFonts w:ascii="仿宋_GB2312" w:eastAsia="仿宋_GB2312" w:hAnsi="仿宋_GB2312" w:cs="仿宋_GB2312" w:hint="eastAsia"/>
          <w:spacing w:val="8"/>
          <w:sz w:val="32"/>
          <w:szCs w:val="32"/>
          <w:lang w:eastAsia="zh-CN"/>
        </w:rPr>
        <w:t>际需求，主要以实体或工程形象展示形式呈现。</w:t>
      </w:r>
      <w:r>
        <w:rPr>
          <w:rFonts w:ascii="仿宋_GB2312" w:eastAsia="仿宋_GB2312" w:hAnsi="仿宋_GB2312" w:cs="仿宋_GB2312" w:hint="eastAsia"/>
          <w:spacing w:val="7"/>
          <w:sz w:val="32"/>
          <w:szCs w:val="32"/>
          <w:lang w:eastAsia="zh-CN"/>
        </w:rPr>
        <w:t>学位论文或申请</w:t>
      </w:r>
      <w:r>
        <w:rPr>
          <w:rFonts w:ascii="仿宋_GB2312" w:eastAsia="仿宋_GB2312" w:hAnsi="仿宋_GB2312" w:cs="仿宋_GB2312" w:hint="eastAsia"/>
          <w:spacing w:val="4"/>
          <w:sz w:val="32"/>
          <w:szCs w:val="32"/>
          <w:lang w:eastAsia="zh-CN"/>
        </w:rPr>
        <w:t>学位实践成果工作时间应不少于2年。</w:t>
      </w:r>
    </w:p>
    <w:p w14:paraId="110905C2" w14:textId="77777777" w:rsidR="00AF43BD" w:rsidRDefault="00000000">
      <w:pPr>
        <w:pStyle w:val="a4"/>
        <w:spacing w:before="9" w:line="560" w:lineRule="exact"/>
        <w:ind w:left="23" w:right="83" w:firstLine="668"/>
        <w:jc w:val="both"/>
        <w:rPr>
          <w:rFonts w:ascii="仿宋_GB2312" w:eastAsia="仿宋_GB2312" w:hAnsi="仿宋_GB2312" w:cs="仿宋_GB2312" w:hint="eastAsia"/>
          <w:spacing w:val="4"/>
          <w:sz w:val="32"/>
          <w:szCs w:val="32"/>
          <w:lang w:eastAsia="zh-CN"/>
        </w:rPr>
      </w:pPr>
      <w:r>
        <w:rPr>
          <w:rFonts w:ascii="仿宋_GB2312" w:eastAsia="仿宋_GB2312" w:hAnsi="仿宋_GB2312" w:cs="仿宋_GB2312" w:hint="eastAsia"/>
          <w:spacing w:val="4"/>
          <w:sz w:val="32"/>
          <w:szCs w:val="32"/>
          <w:lang w:eastAsia="zh-CN"/>
        </w:rPr>
        <w:t>4.博士研究生培养由培养单位与企业、科研院所（以下简称企业）共同承担，培养单位应调动企业的积极性，充分发挥企业在人才培养中的重要作用，依托重要工程技术项目开展联合培养。</w:t>
      </w:r>
    </w:p>
    <w:p w14:paraId="222EA9E9" w14:textId="77777777" w:rsidR="00AF43BD" w:rsidRDefault="00000000">
      <w:pPr>
        <w:pStyle w:val="a4"/>
        <w:spacing w:before="9" w:line="560" w:lineRule="exact"/>
        <w:ind w:left="23" w:right="83" w:firstLine="668"/>
        <w:jc w:val="both"/>
        <w:rPr>
          <w:rFonts w:ascii="仿宋_GB2312" w:eastAsia="仿宋_GB2312" w:hAnsi="仿宋_GB2312" w:cs="仿宋_GB2312" w:hint="eastAsia"/>
          <w:sz w:val="32"/>
          <w:szCs w:val="32"/>
          <w:lang w:eastAsia="zh-CN"/>
        </w:rPr>
      </w:pPr>
      <w:r>
        <w:rPr>
          <w:rFonts w:ascii="仿宋_GB2312" w:eastAsia="仿宋_GB2312" w:hAnsi="仿宋_GB2312" w:cs="仿宋_GB2312" w:hint="eastAsia"/>
          <w:spacing w:val="4"/>
          <w:sz w:val="32"/>
          <w:szCs w:val="32"/>
          <w:lang w:eastAsia="zh-CN"/>
        </w:rPr>
        <w:t>5.博士研究生培养采用校企导师组指导制度，导师组包括来自培养单位具有较高学术水平、工程实践经验丰富的博士研究生指导教师，以及来自企业具有</w:t>
      </w:r>
      <w:r>
        <w:rPr>
          <w:rFonts w:ascii="仿宋_GB2312" w:eastAsia="仿宋_GB2312" w:hAnsi="仿宋_GB2312" w:cs="仿宋_GB2312" w:hint="eastAsia"/>
          <w:spacing w:val="7"/>
          <w:sz w:val="32"/>
          <w:szCs w:val="32"/>
          <w:lang w:eastAsia="zh-CN"/>
        </w:rPr>
        <w:t>主持或承担重大、重</w:t>
      </w:r>
      <w:r>
        <w:rPr>
          <w:rFonts w:ascii="仿宋_GB2312" w:eastAsia="仿宋_GB2312" w:hAnsi="仿宋_GB2312" w:cs="仿宋_GB2312" w:hint="eastAsia"/>
          <w:spacing w:val="10"/>
          <w:sz w:val="32"/>
          <w:szCs w:val="32"/>
          <w:lang w:eastAsia="zh-CN"/>
        </w:rPr>
        <w:t>要工程项目经历且有指导研究生经验的技术专家。导</w:t>
      </w:r>
      <w:r>
        <w:rPr>
          <w:rFonts w:ascii="仿宋_GB2312" w:eastAsia="仿宋_GB2312" w:hAnsi="仿宋_GB2312" w:cs="仿宋_GB2312" w:hint="eastAsia"/>
          <w:spacing w:val="9"/>
          <w:sz w:val="32"/>
          <w:szCs w:val="32"/>
          <w:lang w:eastAsia="zh-CN"/>
        </w:rPr>
        <w:t>师组共</w:t>
      </w:r>
      <w:r>
        <w:rPr>
          <w:rFonts w:ascii="仿宋_GB2312" w:eastAsia="仿宋_GB2312" w:hAnsi="仿宋_GB2312" w:cs="仿宋_GB2312" w:hint="eastAsia"/>
          <w:spacing w:val="8"/>
          <w:sz w:val="32"/>
          <w:szCs w:val="32"/>
          <w:lang w:eastAsia="zh-CN"/>
        </w:rPr>
        <w:t>同负责研究生思想品德、学风和职业素养等方面教育，制定</w:t>
      </w:r>
      <w:r>
        <w:rPr>
          <w:rFonts w:ascii="仿宋_GB2312" w:eastAsia="仿宋_GB2312" w:hAnsi="仿宋_GB2312" w:cs="仿宋_GB2312" w:hint="eastAsia"/>
          <w:spacing w:val="10"/>
          <w:sz w:val="32"/>
          <w:szCs w:val="32"/>
          <w:lang w:eastAsia="zh-CN"/>
        </w:rPr>
        <w:t>研究生培养计划，确定专业实践任务和工作计划，定期进行</w:t>
      </w:r>
      <w:r>
        <w:rPr>
          <w:rFonts w:ascii="仿宋_GB2312" w:eastAsia="仿宋_GB2312" w:hAnsi="仿宋_GB2312" w:cs="仿宋_GB2312" w:hint="eastAsia"/>
          <w:spacing w:val="9"/>
          <w:sz w:val="32"/>
          <w:szCs w:val="32"/>
          <w:lang w:eastAsia="zh-CN"/>
        </w:rPr>
        <w:lastRenderedPageBreak/>
        <w:t>学术和工程实践指导，做好培养过程各阶段的考核</w:t>
      </w:r>
      <w:r>
        <w:rPr>
          <w:rFonts w:ascii="仿宋_GB2312" w:eastAsia="仿宋_GB2312" w:hAnsi="仿宋_GB2312" w:cs="仿宋_GB2312" w:hint="eastAsia"/>
          <w:spacing w:val="8"/>
          <w:sz w:val="32"/>
          <w:szCs w:val="32"/>
          <w:lang w:eastAsia="zh-CN"/>
        </w:rPr>
        <w:t>评估、学</w:t>
      </w:r>
      <w:r>
        <w:rPr>
          <w:rFonts w:ascii="仿宋_GB2312" w:eastAsia="仿宋_GB2312" w:hAnsi="仿宋_GB2312" w:cs="仿宋_GB2312" w:hint="eastAsia"/>
          <w:spacing w:val="6"/>
          <w:sz w:val="32"/>
          <w:szCs w:val="32"/>
          <w:lang w:eastAsia="zh-CN"/>
        </w:rPr>
        <w:t>位成果认定、学位论文或申请学位实践成果指导等工作。</w:t>
      </w:r>
    </w:p>
    <w:p w14:paraId="73391F97" w14:textId="77777777" w:rsidR="00AF43BD" w:rsidRDefault="00000000">
      <w:pPr>
        <w:widowControl w:val="0"/>
        <w:kinsoku/>
        <w:autoSpaceDE/>
        <w:autoSpaceDN/>
        <w:spacing w:line="560" w:lineRule="exact"/>
        <w:ind w:firstLineChars="200" w:firstLine="643"/>
        <w:jc w:val="both"/>
        <w:textAlignment w:val="auto"/>
        <w:outlineLvl w:val="0"/>
        <w:rPr>
          <w:rFonts w:ascii="黑体" w:eastAsia="黑体" w:hAnsi="黑体" w:cs="黑体" w:hint="eastAsia"/>
          <w:b/>
          <w:bCs/>
          <w:sz w:val="32"/>
          <w:szCs w:val="32"/>
          <w:lang w:eastAsia="zh-CN"/>
        </w:rPr>
      </w:pPr>
      <w:r>
        <w:rPr>
          <w:rFonts w:ascii="黑体" w:eastAsia="黑体" w:hAnsi="黑体" w:cs="黑体" w:hint="eastAsia"/>
          <w:b/>
          <w:bCs/>
          <w:sz w:val="32"/>
          <w:szCs w:val="32"/>
          <w:lang w:eastAsia="zh-CN"/>
        </w:rPr>
        <w:t>六、课程设置与学分要求</w:t>
      </w:r>
    </w:p>
    <w:p w14:paraId="717DDCC9" w14:textId="501DCE51"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课程学习和必修环节实行学分制，总学分≥2</w:t>
      </w:r>
      <w:r w:rsidR="00407705">
        <w:rPr>
          <w:rFonts w:ascii="仿宋_GB2312" w:eastAsia="仿宋_GB2312" w:hAnsi="仿宋_GB2312" w:cs="仿宋_GB2312" w:hint="eastAsia"/>
          <w:sz w:val="32"/>
          <w:szCs w:val="32"/>
          <w:lang w:eastAsia="zh-CN"/>
        </w:rPr>
        <w:t>6</w:t>
      </w:r>
      <w:r>
        <w:rPr>
          <w:rFonts w:ascii="仿宋_GB2312" w:eastAsia="仿宋_GB2312" w:hAnsi="仿宋_GB2312" w:cs="仿宋_GB2312" w:hint="eastAsia"/>
          <w:sz w:val="32"/>
          <w:szCs w:val="32"/>
          <w:lang w:eastAsia="zh-CN"/>
        </w:rPr>
        <w:t>学分。其中，专业选修课不少于</w:t>
      </w:r>
      <w:r w:rsidR="00407705">
        <w:rPr>
          <w:rFonts w:ascii="仿宋_GB2312" w:eastAsia="仿宋_GB2312" w:hAnsi="仿宋_GB2312" w:cs="仿宋_GB2312" w:hint="eastAsia"/>
          <w:sz w:val="32"/>
          <w:szCs w:val="32"/>
          <w:lang w:eastAsia="zh-CN"/>
        </w:rPr>
        <w:t>5</w:t>
      </w:r>
      <w:r>
        <w:rPr>
          <w:rFonts w:ascii="仿宋_GB2312" w:eastAsia="仿宋_GB2312" w:hAnsi="仿宋_GB2312" w:cs="仿宋_GB2312" w:hint="eastAsia"/>
          <w:sz w:val="32"/>
          <w:szCs w:val="32"/>
          <w:lang w:eastAsia="zh-CN"/>
        </w:rPr>
        <w:t>学分，</w:t>
      </w:r>
      <w:r>
        <w:rPr>
          <w:rFonts w:ascii="仿宋_GB2312" w:eastAsia="仿宋_GB2312" w:hAnsi="仿宋_GB2312" w:cs="仿宋_GB2312" w:hint="eastAsia"/>
          <w:bCs/>
          <w:sz w:val="32"/>
          <w:szCs w:val="32"/>
          <w:lang w:eastAsia="zh-CN"/>
        </w:rPr>
        <w:t>必修环节11学分</w:t>
      </w:r>
      <w:r>
        <w:rPr>
          <w:rFonts w:ascii="仿宋_GB2312" w:eastAsia="仿宋_GB2312" w:hAnsi="仿宋_GB2312" w:cs="仿宋_GB2312" w:hint="eastAsia"/>
          <w:sz w:val="32"/>
          <w:szCs w:val="32"/>
          <w:lang w:eastAsia="zh-CN"/>
        </w:rPr>
        <w:t>。</w:t>
      </w:r>
    </w:p>
    <w:p w14:paraId="048C11D2"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1.课程设置</w:t>
      </w:r>
    </w:p>
    <w:p w14:paraId="0C945014"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（1）公共必修课程（4学分）</w:t>
      </w:r>
    </w:p>
    <w:p w14:paraId="30D0B7E1"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中国马克思主义与当代（2学分）、人工智能应用（1学分）、研究生职业规划与求职攻略（1学分）。</w:t>
      </w:r>
    </w:p>
    <w:p w14:paraId="522AF772" w14:textId="77777777" w:rsidR="00AF43BD" w:rsidRDefault="00000000">
      <w:pPr>
        <w:widowControl w:val="0"/>
        <w:numPr>
          <w:ilvl w:val="0"/>
          <w:numId w:val="1"/>
        </w:numPr>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公共选修课（1学分）</w:t>
      </w:r>
    </w:p>
    <w:p w14:paraId="5563BFE8"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研究生新生心适应（1学分）</w:t>
      </w:r>
    </w:p>
    <w:p w14:paraId="6EC60BE8"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（3）专业必修课（6学分）</w:t>
      </w:r>
    </w:p>
    <w:p w14:paraId="3EC3C150"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学术规范与科研技能（1学分）、轻工资源工程化转化（1学分）、</w:t>
      </w:r>
      <w:r w:rsidRPr="00583B2A">
        <w:rPr>
          <w:rFonts w:ascii="仿宋_GB2312" w:eastAsia="仿宋_GB2312" w:hAnsi="仿宋_GB2312" w:cs="仿宋_GB2312" w:hint="eastAsia"/>
          <w:sz w:val="32"/>
          <w:szCs w:val="32"/>
          <w:lang w:eastAsia="zh-CN"/>
        </w:rPr>
        <w:t>轻工技术与工程前沿技术</w:t>
      </w:r>
      <w:r>
        <w:rPr>
          <w:rFonts w:ascii="仿宋_GB2312" w:eastAsia="仿宋_GB2312" w:hAnsi="仿宋_GB2312" w:cs="仿宋_GB2312" w:hint="eastAsia"/>
          <w:sz w:val="32"/>
          <w:szCs w:val="32"/>
          <w:lang w:eastAsia="zh-CN"/>
        </w:rPr>
        <w:t>（2学分）、轻工绿色制造案例解析（2学分）。</w:t>
      </w:r>
    </w:p>
    <w:p w14:paraId="76DBE19E" w14:textId="42EAECBD"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（4）专业选修课（不少于</w:t>
      </w:r>
      <w:r w:rsidR="00407705">
        <w:rPr>
          <w:rFonts w:ascii="仿宋_GB2312" w:eastAsia="仿宋_GB2312" w:hAnsi="仿宋_GB2312" w:cs="仿宋_GB2312" w:hint="eastAsia"/>
          <w:sz w:val="32"/>
          <w:szCs w:val="32"/>
          <w:lang w:eastAsia="zh-CN"/>
        </w:rPr>
        <w:t>5</w:t>
      </w:r>
      <w:r>
        <w:rPr>
          <w:rFonts w:ascii="仿宋_GB2312" w:eastAsia="仿宋_GB2312" w:hAnsi="仿宋_GB2312" w:cs="仿宋_GB2312" w:hint="eastAsia"/>
          <w:sz w:val="32"/>
          <w:szCs w:val="32"/>
          <w:lang w:eastAsia="zh-CN"/>
        </w:rPr>
        <w:t>学分）</w:t>
      </w:r>
    </w:p>
    <w:p w14:paraId="6C6B5625"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（5）补修课（0学分）</w:t>
      </w:r>
    </w:p>
    <w:p w14:paraId="6CD4AB12"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跨学科考入的博士研究生须补修本专业硕士阶段主干课程2门，补修课程成绩必须合格但不计学分。</w:t>
      </w:r>
    </w:p>
    <w:p w14:paraId="35B3C574" w14:textId="77777777" w:rsidR="00AF43BD" w:rsidRDefault="00000000">
      <w:pPr>
        <w:widowControl w:val="0"/>
        <w:numPr>
          <w:ilvl w:val="255"/>
          <w:numId w:val="0"/>
        </w:numPr>
        <w:kinsoku/>
        <w:autoSpaceDE/>
        <w:autoSpaceDN/>
        <w:spacing w:line="560" w:lineRule="exact"/>
        <w:ind w:firstLine="570"/>
        <w:jc w:val="both"/>
        <w:textAlignment w:val="auto"/>
        <w:rPr>
          <w:rFonts w:ascii="仿宋_GB2312" w:eastAsia="仿宋_GB2312" w:hAnsi="仿宋_GB2312" w:cs="仿宋_GB2312" w:hint="eastAsia"/>
          <w:bCs/>
          <w:snapToGrid/>
          <w:kern w:val="2"/>
          <w:sz w:val="32"/>
          <w:szCs w:val="32"/>
          <w:lang w:eastAsia="zh-CN"/>
        </w:rPr>
      </w:pPr>
      <w:r>
        <w:rPr>
          <w:rFonts w:ascii="仿宋_GB2312" w:eastAsia="仿宋_GB2312" w:hAnsi="仿宋_GB2312" w:cs="仿宋_GB2312" w:hint="eastAsia"/>
          <w:bCs/>
          <w:snapToGrid/>
          <w:kern w:val="2"/>
          <w:sz w:val="32"/>
          <w:szCs w:val="32"/>
          <w:lang w:eastAsia="zh-CN"/>
        </w:rPr>
        <w:t>2.必修环节设置</w:t>
      </w:r>
    </w:p>
    <w:p w14:paraId="4CAACCFB" w14:textId="77777777" w:rsidR="00AF43BD" w:rsidRDefault="00000000">
      <w:pPr>
        <w:widowControl w:val="0"/>
        <w:numPr>
          <w:ilvl w:val="255"/>
          <w:numId w:val="0"/>
        </w:numPr>
        <w:kinsoku/>
        <w:autoSpaceDE/>
        <w:autoSpaceDN/>
        <w:spacing w:line="560" w:lineRule="exact"/>
        <w:ind w:firstLine="570"/>
        <w:jc w:val="both"/>
        <w:textAlignment w:val="auto"/>
        <w:rPr>
          <w:rFonts w:ascii="仿宋_GB2312" w:eastAsia="仿宋_GB2312" w:hAnsi="仿宋_GB2312" w:cs="仿宋_GB2312" w:hint="eastAsia"/>
          <w:bCs/>
          <w:snapToGrid/>
          <w:kern w:val="2"/>
          <w:sz w:val="32"/>
          <w:szCs w:val="32"/>
          <w:lang w:eastAsia="zh-CN"/>
        </w:rPr>
      </w:pPr>
      <w:r>
        <w:rPr>
          <w:rFonts w:ascii="仿宋_GB2312" w:eastAsia="仿宋_GB2312" w:hAnsi="仿宋_GB2312" w:cs="仿宋_GB2312" w:hint="eastAsia"/>
          <w:bCs/>
          <w:sz w:val="32"/>
          <w:szCs w:val="32"/>
          <w:lang w:eastAsia="zh-CN"/>
        </w:rPr>
        <w:t>博士研究生必修环节包括体美劳综合素养提升（1学分）、学位论文开题或实践成果可行性论证（1学分）、中期考核（1学分）、学术与技术交流（1学分）、实验室安全（1学分）、专业实践（6学分）。</w:t>
      </w:r>
    </w:p>
    <w:p w14:paraId="4F868ADB" w14:textId="77777777" w:rsidR="00AF43BD" w:rsidRDefault="00000000">
      <w:pPr>
        <w:widowControl w:val="0"/>
        <w:numPr>
          <w:ilvl w:val="255"/>
          <w:numId w:val="0"/>
        </w:numPr>
        <w:kinsoku/>
        <w:autoSpaceDE/>
        <w:autoSpaceDN/>
        <w:spacing w:line="560" w:lineRule="exact"/>
        <w:ind w:firstLine="570"/>
        <w:jc w:val="both"/>
        <w:textAlignment w:val="auto"/>
        <w:rPr>
          <w:rFonts w:ascii="仿宋_GB2312" w:eastAsia="仿宋_GB2312" w:hAnsi="仿宋_GB2312" w:cs="仿宋_GB2312" w:hint="eastAsia"/>
          <w:bCs/>
          <w:snapToGrid/>
          <w:kern w:val="2"/>
          <w:sz w:val="32"/>
          <w:szCs w:val="32"/>
          <w:lang w:eastAsia="zh-CN"/>
        </w:rPr>
      </w:pPr>
      <w:r>
        <w:rPr>
          <w:rFonts w:ascii="仿宋_GB2312" w:eastAsia="仿宋_GB2312" w:hAnsi="仿宋_GB2312" w:cs="仿宋_GB2312" w:hint="eastAsia"/>
          <w:bCs/>
          <w:snapToGrid/>
          <w:kern w:val="2"/>
          <w:sz w:val="32"/>
          <w:szCs w:val="32"/>
          <w:lang w:eastAsia="zh-CN"/>
        </w:rPr>
        <w:t>（1）体美劳综合素养提升（1学分）</w:t>
      </w:r>
    </w:p>
    <w:p w14:paraId="7789CCF2" w14:textId="77777777" w:rsidR="00AF43BD" w:rsidRDefault="00000000">
      <w:pPr>
        <w:numPr>
          <w:ilvl w:val="255"/>
          <w:numId w:val="0"/>
        </w:numPr>
        <w:kinsoku/>
        <w:autoSpaceDE/>
        <w:autoSpaceDN/>
        <w:spacing w:beforeLines="50" w:before="120"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bCs/>
          <w:snapToGrid/>
          <w:kern w:val="2"/>
          <w:sz w:val="32"/>
          <w:szCs w:val="32"/>
          <w:lang w:eastAsia="zh-CN"/>
        </w:rPr>
        <w:lastRenderedPageBreak/>
        <w:t>以德</w:t>
      </w:r>
      <w:r>
        <w:rPr>
          <w:rFonts w:ascii="仿宋_GB2312" w:eastAsia="仿宋_GB2312" w:hAnsi="仿宋_GB2312" w:cs="仿宋_GB2312" w:hint="eastAsia"/>
          <w:sz w:val="32"/>
          <w:szCs w:val="32"/>
          <w:lang w:eastAsia="zh-CN"/>
        </w:rPr>
        <w:t>育为引领，将体美劳综合素养提升融入博士培养全过程。通过系统体育锻炼培养健康体魄、运动技能、团队协作与抗压能力，以强健的体质支撑学业与科研持久力；培养具有审美情操、艺术表达与工程美学应用能力，注重提升对科学之美的感知力与创造力；依托科研实践与社会服务劳动，厚植家国情怀与责任担当，促进博士研究生德智体美劳全面发展，塑造德才兼备的高层次人才。完成</w:t>
      </w:r>
      <w:r>
        <w:rPr>
          <w:rFonts w:ascii="仿宋_GB2312" w:eastAsia="仿宋_GB2312" w:hAnsi="仿宋_GB2312" w:cs="仿宋_GB2312" w:hint="eastAsia"/>
          <w:bCs/>
          <w:color w:val="auto"/>
          <w:kern w:val="2"/>
          <w:sz w:val="32"/>
          <w:szCs w:val="32"/>
          <w:lang w:eastAsia="zh-CN"/>
        </w:rPr>
        <w:t>体美劳综合素养提升</w:t>
      </w:r>
      <w:r>
        <w:rPr>
          <w:rFonts w:ascii="仿宋_GB2312" w:eastAsia="仿宋_GB2312" w:hAnsi="仿宋_GB2312" w:cs="仿宋_GB2312" w:hint="eastAsia"/>
          <w:sz w:val="32"/>
          <w:szCs w:val="32"/>
          <w:lang w:eastAsia="zh-CN"/>
        </w:rPr>
        <w:t>，获得1学分。</w:t>
      </w:r>
      <w:r>
        <w:rPr>
          <w:rFonts w:ascii="仿宋_GB2312" w:eastAsia="仿宋_GB2312" w:hAnsi="仿宋_GB2312" w:cs="仿宋_GB2312" w:hint="eastAsia"/>
          <w:bCs/>
          <w:snapToGrid/>
          <w:color w:val="auto"/>
          <w:kern w:val="2"/>
          <w:sz w:val="32"/>
          <w:szCs w:val="32"/>
          <w:lang w:eastAsia="zh-CN"/>
        </w:rPr>
        <w:t xml:space="preserve"> </w:t>
      </w:r>
    </w:p>
    <w:p w14:paraId="7C885480" w14:textId="77777777" w:rsidR="00AF43BD" w:rsidRDefault="00000000">
      <w:pPr>
        <w:spacing w:beforeLines="50" w:before="120" w:line="560" w:lineRule="exact"/>
        <w:ind w:firstLineChars="200" w:firstLine="640"/>
        <w:outlineLvl w:val="0"/>
        <w:rPr>
          <w:rFonts w:ascii="仿宋_GB2312" w:eastAsia="仿宋_GB2312" w:hAnsi="仿宋_GB2312" w:cs="仿宋_GB2312" w:hint="eastAsia"/>
          <w:bCs/>
          <w:kern w:val="2"/>
          <w:sz w:val="32"/>
          <w:szCs w:val="32"/>
          <w:lang w:eastAsia="zh-CN"/>
        </w:rPr>
      </w:pPr>
      <w:r>
        <w:rPr>
          <w:rFonts w:ascii="仿宋_GB2312" w:eastAsia="仿宋_GB2312" w:hAnsi="仿宋_GB2312" w:cs="仿宋_GB2312" w:hint="eastAsia"/>
          <w:bCs/>
          <w:sz w:val="32"/>
          <w:szCs w:val="32"/>
          <w:lang w:eastAsia="zh-CN"/>
        </w:rPr>
        <w:t>（2）</w:t>
      </w:r>
      <w:r>
        <w:rPr>
          <w:rFonts w:ascii="仿宋_GB2312" w:eastAsia="仿宋_GB2312" w:hAnsi="仿宋_GB2312" w:cs="仿宋_GB2312" w:hint="eastAsia"/>
          <w:sz w:val="32"/>
          <w:szCs w:val="32"/>
          <w:lang w:eastAsia="zh-CN"/>
        </w:rPr>
        <w:t>学位论文开题或实践成果可行性论证</w:t>
      </w:r>
      <w:r>
        <w:rPr>
          <w:rFonts w:ascii="仿宋_GB2312" w:eastAsia="仿宋_GB2312" w:hAnsi="仿宋_GB2312" w:cs="仿宋_GB2312" w:hint="eastAsia"/>
          <w:bCs/>
          <w:kern w:val="2"/>
          <w:sz w:val="32"/>
          <w:szCs w:val="32"/>
          <w:lang w:eastAsia="zh-CN"/>
        </w:rPr>
        <w:t>（1学分）</w:t>
      </w:r>
    </w:p>
    <w:p w14:paraId="151EA49E" w14:textId="77777777" w:rsidR="00AF43BD" w:rsidRDefault="00000000">
      <w:pPr>
        <w:spacing w:beforeLines="50" w:before="120" w:line="560" w:lineRule="exact"/>
        <w:ind w:firstLineChars="200" w:firstLine="640"/>
        <w:outlineLvl w:val="0"/>
        <w:rPr>
          <w:rFonts w:ascii="仿宋_GB2312" w:eastAsia="仿宋_GB2312" w:hAnsi="仿宋_GB2312" w:cs="仿宋_GB2312" w:hint="eastAsia"/>
          <w:bCs/>
          <w:sz w:val="32"/>
          <w:szCs w:val="32"/>
          <w:lang w:eastAsia="zh-CN"/>
        </w:rPr>
      </w:pPr>
      <w:r>
        <w:rPr>
          <w:rFonts w:ascii="仿宋_GB2312" w:eastAsia="仿宋_GB2312" w:hAnsi="仿宋_GB2312" w:cs="仿宋_GB2312" w:hint="eastAsia"/>
          <w:sz w:val="32"/>
          <w:szCs w:val="32"/>
          <w:lang w:eastAsia="zh-CN"/>
        </w:rPr>
        <w:t>博士研究生的学位论文开题或实践成果可行性论证应于入学后1.5学年内完成（一般为第三学期），硕博连读研究生应于转博后的1学年内完成。博士研究生应在广泛调查研究、阅读文献资料、了解主攻方向的最新成果和发展动态的基础上，与导师一起拟订学位论文或实践成果选题，独立完成开题或可行性报告。选题必须具备科学性、创新性、可行性和先进性。博士研究生应提交不少于10000字的文献综述，并提交学位论文或实践成果研究及撰写计划，开题报告评审专家组由至少3位本专业领域具有博士研究生指导资格或具有正高级职称的专家组成，其中至少有1位企业专家，以公开答辩方式进行，通过者获得1学分。</w:t>
      </w:r>
    </w:p>
    <w:p w14:paraId="539E0D73" w14:textId="77777777" w:rsidR="00AF43BD" w:rsidRDefault="00000000">
      <w:pPr>
        <w:kinsoku/>
        <w:autoSpaceDE/>
        <w:autoSpaceDN/>
        <w:spacing w:beforeLines="50" w:before="120" w:line="560" w:lineRule="exact"/>
        <w:ind w:firstLineChars="200" w:firstLine="640"/>
        <w:textAlignment w:val="auto"/>
        <w:outlineLvl w:val="0"/>
        <w:rPr>
          <w:rFonts w:ascii="仿宋_GB2312" w:eastAsia="仿宋_GB2312" w:hAnsi="仿宋_GB2312" w:cs="仿宋_GB2312" w:hint="eastAsia"/>
          <w:bCs/>
          <w:kern w:val="2"/>
          <w:sz w:val="32"/>
          <w:szCs w:val="32"/>
          <w:lang w:eastAsia="zh-CN"/>
        </w:rPr>
      </w:pPr>
      <w:r>
        <w:rPr>
          <w:rFonts w:ascii="仿宋_GB2312" w:eastAsia="仿宋_GB2312" w:hAnsi="仿宋_GB2312" w:cs="仿宋_GB2312" w:hint="eastAsia"/>
          <w:bCs/>
          <w:sz w:val="32"/>
          <w:szCs w:val="32"/>
          <w:lang w:eastAsia="zh-CN"/>
        </w:rPr>
        <w:t>（3）中期考核</w:t>
      </w:r>
      <w:r>
        <w:rPr>
          <w:rFonts w:ascii="仿宋_GB2312" w:eastAsia="仿宋_GB2312" w:hAnsi="仿宋_GB2312" w:cs="仿宋_GB2312" w:hint="eastAsia"/>
          <w:bCs/>
          <w:kern w:val="2"/>
          <w:sz w:val="32"/>
          <w:szCs w:val="32"/>
          <w:lang w:eastAsia="zh-CN"/>
        </w:rPr>
        <w:t>（1学分）</w:t>
      </w:r>
    </w:p>
    <w:p w14:paraId="7176DCA0" w14:textId="77777777" w:rsidR="00AF43BD" w:rsidRDefault="00000000">
      <w:pPr>
        <w:kinsoku/>
        <w:autoSpaceDE/>
        <w:autoSpaceDN/>
        <w:spacing w:beforeLines="50" w:before="120" w:line="560" w:lineRule="exact"/>
        <w:ind w:firstLineChars="200" w:firstLine="640"/>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bCs/>
          <w:sz w:val="32"/>
          <w:szCs w:val="32"/>
          <w:lang w:eastAsia="zh-CN"/>
        </w:rPr>
        <w:t>博士研究生应在通过学位论文开题或实践成果可行</w:t>
      </w:r>
      <w:r>
        <w:rPr>
          <w:rFonts w:ascii="仿宋_GB2312" w:eastAsia="仿宋_GB2312" w:hAnsi="仿宋_GB2312" w:cs="仿宋_GB2312" w:hint="eastAsia"/>
          <w:sz w:val="32"/>
          <w:szCs w:val="32"/>
          <w:lang w:eastAsia="zh-CN"/>
        </w:rPr>
        <w:t>性论证12个月内完成中期考核。中期考核小组要对博士研究生自入学以来的科研水平、业务能力等进行综合考核，审查博士研究生</w:t>
      </w:r>
      <w:r>
        <w:rPr>
          <w:rFonts w:ascii="仿宋_GB2312" w:eastAsia="仿宋_GB2312" w:hAnsi="仿宋_GB2312" w:cs="仿宋_GB2312" w:hint="eastAsia"/>
          <w:sz w:val="32"/>
          <w:szCs w:val="32"/>
          <w:lang w:eastAsia="zh-CN"/>
        </w:rPr>
        <w:lastRenderedPageBreak/>
        <w:t>各类课程学习、学术活动、文献综述、开题报告等情况，对博士研究生掌握专业基础理论、学科前沿知识水平及分析、解决问题的能力进行考核，考核通过获得1学分。</w:t>
      </w:r>
    </w:p>
    <w:p w14:paraId="77FADCE2"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bCs/>
          <w:kern w:val="2"/>
          <w:sz w:val="32"/>
          <w:szCs w:val="32"/>
          <w:lang w:eastAsia="zh-CN"/>
        </w:rPr>
      </w:pPr>
      <w:r>
        <w:rPr>
          <w:rFonts w:ascii="仿宋_GB2312" w:eastAsia="仿宋_GB2312" w:hAnsi="仿宋_GB2312" w:cs="仿宋_GB2312" w:hint="eastAsia"/>
          <w:sz w:val="32"/>
          <w:szCs w:val="32"/>
          <w:lang w:eastAsia="zh-CN"/>
        </w:rPr>
        <w:t>（4）学术与技术交流</w:t>
      </w:r>
      <w:r>
        <w:rPr>
          <w:rFonts w:ascii="仿宋_GB2312" w:eastAsia="仿宋_GB2312" w:hAnsi="仿宋_GB2312" w:cs="仿宋_GB2312" w:hint="eastAsia"/>
          <w:bCs/>
          <w:kern w:val="2"/>
          <w:sz w:val="32"/>
          <w:szCs w:val="32"/>
          <w:lang w:eastAsia="zh-CN"/>
        </w:rPr>
        <w:t>（1学分）</w:t>
      </w:r>
    </w:p>
    <w:p w14:paraId="6DF8C68E" w14:textId="77777777" w:rsidR="00AF43BD" w:rsidRDefault="00000000">
      <w:pPr>
        <w:kinsoku/>
        <w:autoSpaceDE/>
        <w:autoSpaceDN/>
        <w:spacing w:line="560" w:lineRule="exact"/>
        <w:ind w:firstLine="585"/>
        <w:textAlignment w:val="auto"/>
        <w:rPr>
          <w:rFonts w:ascii="仿宋_GB2312" w:eastAsia="仿宋_GB2312" w:hAnsi="仿宋_GB2312" w:cs="仿宋_GB2312" w:hint="eastAsia"/>
          <w:sz w:val="32"/>
          <w:szCs w:val="32"/>
          <w:highlight w:val="yellow"/>
          <w:lang w:eastAsia="zh-CN"/>
        </w:rPr>
      </w:pPr>
      <w:r>
        <w:rPr>
          <w:rFonts w:ascii="仿宋_GB2312" w:eastAsia="仿宋_GB2312" w:hAnsi="仿宋_GB2312" w:cs="仿宋_GB2312" w:hint="eastAsia"/>
          <w:sz w:val="32"/>
          <w:szCs w:val="32"/>
          <w:lang w:eastAsia="zh-CN"/>
        </w:rPr>
        <w:t>学术与技术交流应贯穿于博士研究生培养的全过程，提升研究生对学科前沿、行业动态、前沿技术等方面的了解和认知。博士研究生在学期间须参加相关学术和技术报告、会议、论坛等活动或参与国际联合培养或长短期国际交流。研究生在学期间本人做专题讲座至少2次，听取学术报告或参加技术交流活动至少10次。完成</w:t>
      </w:r>
      <w:r>
        <w:rPr>
          <w:rFonts w:ascii="仿宋_GB2312" w:eastAsia="仿宋_GB2312" w:hAnsi="仿宋_GB2312" w:cs="仿宋_GB2312" w:hint="eastAsia"/>
          <w:bCs/>
          <w:sz w:val="32"/>
          <w:szCs w:val="32"/>
          <w:lang w:eastAsia="zh-CN"/>
        </w:rPr>
        <w:t>学术与技术交流</w:t>
      </w:r>
      <w:r>
        <w:rPr>
          <w:rFonts w:ascii="仿宋_GB2312" w:eastAsia="仿宋_GB2312" w:hAnsi="仿宋_GB2312" w:cs="仿宋_GB2312" w:hint="eastAsia"/>
          <w:sz w:val="32"/>
          <w:szCs w:val="32"/>
          <w:lang w:eastAsia="zh-CN"/>
        </w:rPr>
        <w:t>活动，获得1学分。</w:t>
      </w:r>
    </w:p>
    <w:p w14:paraId="7BE62A8C"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bCs/>
          <w:kern w:val="2"/>
          <w:sz w:val="32"/>
          <w:szCs w:val="32"/>
          <w:lang w:eastAsia="zh-CN"/>
        </w:rPr>
      </w:pPr>
      <w:r>
        <w:rPr>
          <w:rFonts w:ascii="仿宋_GB2312" w:eastAsia="仿宋_GB2312" w:hAnsi="仿宋_GB2312" w:cs="仿宋_GB2312" w:hint="eastAsia"/>
          <w:sz w:val="32"/>
          <w:szCs w:val="32"/>
          <w:lang w:eastAsia="zh-CN"/>
        </w:rPr>
        <w:t>（5）实验室安全</w:t>
      </w:r>
      <w:r>
        <w:rPr>
          <w:rFonts w:ascii="仿宋_GB2312" w:eastAsia="仿宋_GB2312" w:hAnsi="仿宋_GB2312" w:cs="仿宋_GB2312" w:hint="eastAsia"/>
          <w:bCs/>
          <w:kern w:val="2"/>
          <w:sz w:val="32"/>
          <w:szCs w:val="32"/>
          <w:lang w:eastAsia="zh-CN"/>
        </w:rPr>
        <w:t>（1学分）</w:t>
      </w:r>
    </w:p>
    <w:p w14:paraId="47FB2B87"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实验室所有人员应经过必要的安全教育和培训，掌握各项实验室安全管理办法和基本知识，熟悉各项操作规程，通过学校或所在单位组织的实验室安全教育考试者方可进入实验室学习、工作。完成实验室安全培训并考核通过，获得1学分。</w:t>
      </w:r>
    </w:p>
    <w:p w14:paraId="09C1BED3"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（6）专业实践（6学分）</w:t>
      </w:r>
    </w:p>
    <w:p w14:paraId="68C263E4" w14:textId="77777777" w:rsidR="00AF43BD" w:rsidRDefault="00000000">
      <w:pPr>
        <w:numPr>
          <w:ilvl w:val="255"/>
          <w:numId w:val="0"/>
        </w:numPr>
        <w:kinsoku/>
        <w:autoSpaceDE/>
        <w:autoSpaceDN/>
        <w:adjustRightInd/>
        <w:spacing w:before="156" w:line="560" w:lineRule="exact"/>
        <w:ind w:firstLine="560"/>
        <w:textAlignment w:val="auto"/>
        <w:rPr>
          <w:rFonts w:ascii="仿宋_GB2312" w:eastAsia="仿宋_GB2312" w:hAnsi="仿宋_GB2312" w:cs="仿宋_GB2312" w:hint="eastAsia"/>
          <w:spacing w:val="-3"/>
          <w:sz w:val="32"/>
          <w:szCs w:val="32"/>
          <w:lang w:eastAsia="zh-CN"/>
        </w:rPr>
      </w:pPr>
      <w:r>
        <w:rPr>
          <w:rFonts w:ascii="仿宋_GB2312" w:eastAsia="仿宋_GB2312" w:hAnsi="仿宋_GB2312" w:cs="仿宋_GB2312" w:hint="eastAsia"/>
          <w:sz w:val="32"/>
          <w:szCs w:val="32"/>
          <w:lang w:eastAsia="zh-CN"/>
        </w:rPr>
        <w:t>专业实践应与学位论文或实践成果选题依托的工程项目紧密结合，导师组指导博士研究生制定《专业实践工作计划》，明确实践任务和考核要求。专</w:t>
      </w:r>
      <w:r>
        <w:rPr>
          <w:rFonts w:ascii="仿宋_GB2312" w:eastAsia="仿宋_GB2312" w:hAnsi="仿宋_GB2312" w:cs="仿宋_GB2312" w:hint="eastAsia"/>
          <w:spacing w:val="9"/>
          <w:sz w:val="32"/>
          <w:szCs w:val="32"/>
          <w:lang w:eastAsia="zh-CN"/>
        </w:rPr>
        <w:t>业实践内容要具有一定的工程</w:t>
      </w:r>
      <w:r>
        <w:rPr>
          <w:rFonts w:ascii="仿宋_GB2312" w:eastAsia="仿宋_GB2312" w:hAnsi="仿宋_GB2312" w:cs="仿宋_GB2312" w:hint="eastAsia"/>
          <w:spacing w:val="8"/>
          <w:sz w:val="32"/>
          <w:szCs w:val="32"/>
          <w:lang w:eastAsia="zh-CN"/>
        </w:rPr>
        <w:t>技术难度和工作量，体现所解决工程问题的成效。专业实践</w:t>
      </w:r>
      <w:r>
        <w:rPr>
          <w:rFonts w:ascii="仿宋_GB2312" w:eastAsia="仿宋_GB2312" w:hAnsi="仿宋_GB2312" w:cs="仿宋_GB2312" w:hint="eastAsia"/>
          <w:spacing w:val="-3"/>
          <w:sz w:val="32"/>
          <w:szCs w:val="32"/>
          <w:lang w:eastAsia="zh-CN"/>
        </w:rPr>
        <w:t>结束后，博士研究生须撰写《专业实践总结报告》，由导师组进行考核，重点考核博士研究生完成专业实践任务的情况和取得的成果等内容。考核</w:t>
      </w:r>
      <w:r>
        <w:rPr>
          <w:rFonts w:ascii="仿宋_GB2312" w:eastAsia="仿宋_GB2312" w:hAnsi="仿宋_GB2312" w:cs="仿宋_GB2312" w:hint="eastAsia"/>
          <w:sz w:val="32"/>
          <w:szCs w:val="32"/>
          <w:lang w:eastAsia="zh-CN"/>
        </w:rPr>
        <w:t>通过者获得6学分。专业实践报告要由校企联合指导教师审定、实践单位签章。</w:t>
      </w:r>
    </w:p>
    <w:p w14:paraId="047F075C" w14:textId="77777777" w:rsidR="00AF43BD" w:rsidRDefault="00AF43BD">
      <w:pPr>
        <w:spacing w:before="115"/>
        <w:jc w:val="both"/>
        <w:rPr>
          <w:rFonts w:eastAsia="微软雅黑"/>
          <w:b/>
          <w:sz w:val="24"/>
          <w:lang w:eastAsia="zh-CN"/>
        </w:rPr>
      </w:pPr>
    </w:p>
    <w:p w14:paraId="184A0C9F" w14:textId="77777777" w:rsidR="00AF43BD" w:rsidRDefault="00000000">
      <w:pPr>
        <w:spacing w:before="115"/>
        <w:jc w:val="center"/>
        <w:rPr>
          <w:rFonts w:ascii="仿宋_GB2312" w:eastAsia="仿宋_GB2312" w:hAnsi="仿宋_GB2312" w:cs="仿宋_GB2312" w:hint="eastAsia"/>
          <w:b/>
          <w:sz w:val="28"/>
          <w:szCs w:val="22"/>
          <w:lang w:eastAsia="zh-CN"/>
        </w:rPr>
      </w:pPr>
      <w:r>
        <w:rPr>
          <w:rFonts w:ascii="仿宋_GB2312" w:eastAsia="仿宋_GB2312" w:hAnsi="仿宋_GB2312" w:cs="仿宋_GB2312" w:hint="eastAsia"/>
          <w:b/>
          <w:sz w:val="28"/>
          <w:szCs w:val="22"/>
          <w:lang w:eastAsia="zh-CN"/>
        </w:rPr>
        <w:lastRenderedPageBreak/>
        <w:t>材料与化工类别轻化工程领域专业博士学位</w:t>
      </w:r>
    </w:p>
    <w:p w14:paraId="6BD2EC14" w14:textId="77777777" w:rsidR="00AF43BD" w:rsidRDefault="00000000">
      <w:pPr>
        <w:spacing w:before="115"/>
        <w:jc w:val="center"/>
        <w:rPr>
          <w:rFonts w:ascii="仿宋_GB2312" w:eastAsia="仿宋_GB2312" w:hAnsi="仿宋_GB2312" w:cs="仿宋_GB2312" w:hint="eastAsia"/>
          <w:b/>
          <w:sz w:val="28"/>
          <w:szCs w:val="22"/>
          <w:lang w:eastAsia="zh-CN"/>
        </w:rPr>
      </w:pPr>
      <w:r>
        <w:rPr>
          <w:rFonts w:ascii="仿宋_GB2312" w:eastAsia="仿宋_GB2312" w:hAnsi="仿宋_GB2312" w:cs="仿宋_GB2312" w:hint="eastAsia"/>
          <w:b/>
          <w:sz w:val="28"/>
          <w:szCs w:val="22"/>
          <w:lang w:eastAsia="zh-CN"/>
        </w:rPr>
        <w:t>研究生课程与培养环节设置表</w:t>
      </w:r>
    </w:p>
    <w:tbl>
      <w:tblPr>
        <w:tblpPr w:leftFromText="180" w:rightFromText="180" w:vertAnchor="text" w:horzAnchor="margin" w:tblpXSpec="right" w:tblpY="292"/>
        <w:tblW w:w="8477" w:type="dxa"/>
        <w:tblLayout w:type="fixed"/>
        <w:tblLook w:val="04A0" w:firstRow="1" w:lastRow="0" w:firstColumn="1" w:lastColumn="0" w:noHBand="0" w:noVBand="1"/>
      </w:tblPr>
      <w:tblGrid>
        <w:gridCol w:w="562"/>
        <w:gridCol w:w="1418"/>
        <w:gridCol w:w="2977"/>
        <w:gridCol w:w="1281"/>
        <w:gridCol w:w="821"/>
        <w:gridCol w:w="1418"/>
      </w:tblGrid>
      <w:tr w:rsidR="00AF43BD" w14:paraId="724E5B6D" w14:textId="77777777">
        <w:trPr>
          <w:trHeight w:val="495"/>
        </w:trPr>
        <w:tc>
          <w:tcPr>
            <w:tcW w:w="1980" w:type="dxa"/>
            <w:gridSpan w:val="2"/>
            <w:tcBorders>
              <w:top w:val="single" w:sz="4" w:space="0" w:color="auto"/>
              <w:left w:val="single" w:sz="4" w:space="0" w:color="auto"/>
              <w:bottom w:val="single" w:sz="4" w:space="0" w:color="auto"/>
              <w:right w:val="single" w:sz="4" w:space="0" w:color="auto"/>
            </w:tcBorders>
            <w:vAlign w:val="bottom"/>
          </w:tcPr>
          <w:p w14:paraId="15B79D93" w14:textId="77777777" w:rsidR="00AF43BD" w:rsidRDefault="00000000">
            <w:pPr>
              <w:spacing w:line="300" w:lineRule="auto"/>
              <w:jc w:val="center"/>
              <w:rPr>
                <w:rFonts w:ascii="黑体" w:eastAsia="黑体" w:hAnsi="黑体" w:cs="黑体" w:hint="eastAsia"/>
                <w:b/>
                <w:bCs/>
                <w:sz w:val="24"/>
              </w:rPr>
            </w:pPr>
            <w:r>
              <w:rPr>
                <w:rFonts w:ascii="黑体" w:eastAsia="黑体" w:hAnsi="黑体" w:cs="黑体" w:hint="eastAsia"/>
                <w:b/>
                <w:bCs/>
                <w:sz w:val="24"/>
              </w:rPr>
              <w:t>课程类别</w:t>
            </w:r>
          </w:p>
        </w:tc>
        <w:tc>
          <w:tcPr>
            <w:tcW w:w="2977" w:type="dxa"/>
            <w:tcBorders>
              <w:top w:val="single" w:sz="4" w:space="0" w:color="auto"/>
              <w:left w:val="nil"/>
              <w:bottom w:val="single" w:sz="4" w:space="0" w:color="auto"/>
              <w:right w:val="single" w:sz="4" w:space="0" w:color="auto"/>
            </w:tcBorders>
            <w:vAlign w:val="bottom"/>
          </w:tcPr>
          <w:p w14:paraId="4024CFDE" w14:textId="77777777" w:rsidR="00AF43BD" w:rsidRDefault="00000000">
            <w:pPr>
              <w:spacing w:line="300" w:lineRule="auto"/>
              <w:jc w:val="center"/>
              <w:rPr>
                <w:rFonts w:ascii="黑体" w:eastAsia="黑体" w:hAnsi="黑体" w:cs="黑体" w:hint="eastAsia"/>
                <w:b/>
                <w:bCs/>
                <w:sz w:val="24"/>
              </w:rPr>
            </w:pPr>
            <w:r>
              <w:rPr>
                <w:rFonts w:ascii="黑体" w:eastAsia="黑体" w:hAnsi="黑体" w:cs="黑体" w:hint="eastAsia"/>
                <w:b/>
                <w:bCs/>
                <w:sz w:val="24"/>
              </w:rPr>
              <w:t>课程设置</w:t>
            </w:r>
          </w:p>
        </w:tc>
        <w:tc>
          <w:tcPr>
            <w:tcW w:w="1281" w:type="dxa"/>
            <w:tcBorders>
              <w:top w:val="single" w:sz="4" w:space="0" w:color="auto"/>
              <w:left w:val="nil"/>
              <w:bottom w:val="single" w:sz="4" w:space="0" w:color="auto"/>
              <w:right w:val="single" w:sz="4" w:space="0" w:color="auto"/>
            </w:tcBorders>
            <w:vAlign w:val="bottom"/>
          </w:tcPr>
          <w:p w14:paraId="5F474BB7" w14:textId="77777777" w:rsidR="00AF43BD" w:rsidRDefault="00000000">
            <w:pPr>
              <w:spacing w:line="300" w:lineRule="auto"/>
              <w:jc w:val="center"/>
              <w:rPr>
                <w:rFonts w:ascii="黑体" w:eastAsia="黑体" w:hAnsi="黑体" w:cs="黑体" w:hint="eastAsia"/>
                <w:b/>
                <w:bCs/>
                <w:sz w:val="24"/>
              </w:rPr>
            </w:pPr>
            <w:r>
              <w:rPr>
                <w:rFonts w:ascii="黑体" w:eastAsia="黑体" w:hAnsi="黑体" w:cs="黑体" w:hint="eastAsia"/>
                <w:b/>
                <w:bCs/>
                <w:sz w:val="24"/>
              </w:rPr>
              <w:t>课程要求</w:t>
            </w:r>
          </w:p>
        </w:tc>
        <w:tc>
          <w:tcPr>
            <w:tcW w:w="821" w:type="dxa"/>
            <w:tcBorders>
              <w:top w:val="single" w:sz="4" w:space="0" w:color="auto"/>
              <w:left w:val="nil"/>
              <w:bottom w:val="single" w:sz="4" w:space="0" w:color="auto"/>
              <w:right w:val="single" w:sz="4" w:space="0" w:color="auto"/>
            </w:tcBorders>
            <w:vAlign w:val="bottom"/>
          </w:tcPr>
          <w:p w14:paraId="4D30A40A" w14:textId="77777777" w:rsidR="00AF43BD" w:rsidRDefault="00000000">
            <w:pPr>
              <w:spacing w:line="300" w:lineRule="auto"/>
              <w:jc w:val="center"/>
              <w:rPr>
                <w:rFonts w:ascii="黑体" w:eastAsia="黑体" w:hAnsi="黑体" w:cs="黑体" w:hint="eastAsia"/>
                <w:b/>
                <w:bCs/>
                <w:sz w:val="24"/>
              </w:rPr>
            </w:pPr>
            <w:r>
              <w:rPr>
                <w:rFonts w:ascii="黑体" w:eastAsia="黑体" w:hAnsi="黑体" w:cs="黑体" w:hint="eastAsia"/>
                <w:b/>
                <w:bCs/>
                <w:sz w:val="24"/>
              </w:rPr>
              <w:t>学分</w:t>
            </w:r>
          </w:p>
        </w:tc>
        <w:tc>
          <w:tcPr>
            <w:tcW w:w="1418" w:type="dxa"/>
            <w:tcBorders>
              <w:top w:val="single" w:sz="4" w:space="0" w:color="auto"/>
              <w:left w:val="nil"/>
              <w:bottom w:val="single" w:sz="4" w:space="0" w:color="auto"/>
              <w:right w:val="single" w:sz="4" w:space="0" w:color="auto"/>
            </w:tcBorders>
            <w:vAlign w:val="bottom"/>
          </w:tcPr>
          <w:p w14:paraId="5E11F770" w14:textId="77777777" w:rsidR="00AF43BD" w:rsidRDefault="00000000">
            <w:pPr>
              <w:spacing w:line="300" w:lineRule="auto"/>
              <w:jc w:val="center"/>
              <w:rPr>
                <w:rFonts w:ascii="黑体" w:eastAsia="黑体" w:hAnsi="黑体" w:cs="黑体" w:hint="eastAsia"/>
                <w:b/>
                <w:bCs/>
                <w:sz w:val="24"/>
              </w:rPr>
            </w:pPr>
            <w:r>
              <w:rPr>
                <w:rFonts w:ascii="黑体" w:eastAsia="黑体" w:hAnsi="黑体" w:cs="黑体" w:hint="eastAsia"/>
                <w:b/>
                <w:bCs/>
                <w:sz w:val="24"/>
              </w:rPr>
              <w:t>总学分</w:t>
            </w:r>
          </w:p>
        </w:tc>
      </w:tr>
      <w:tr w:rsidR="00AF43BD" w14:paraId="439784D8" w14:textId="77777777">
        <w:trPr>
          <w:trHeight w:val="496"/>
        </w:trPr>
        <w:tc>
          <w:tcPr>
            <w:tcW w:w="1980" w:type="dxa"/>
            <w:gridSpan w:val="2"/>
            <w:vMerge w:val="restart"/>
            <w:tcBorders>
              <w:top w:val="single" w:sz="4" w:space="0" w:color="auto"/>
              <w:left w:val="single" w:sz="4" w:space="0" w:color="auto"/>
              <w:right w:val="single" w:sz="4" w:space="0" w:color="auto"/>
            </w:tcBorders>
            <w:vAlign w:val="center"/>
          </w:tcPr>
          <w:p w14:paraId="43165956" w14:textId="77777777" w:rsidR="00AF43BD" w:rsidRDefault="00000000">
            <w:pPr>
              <w:jc w:val="center"/>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公共</w:t>
            </w:r>
            <w:r>
              <w:rPr>
                <w:rFonts w:ascii="仿宋_GB2312" w:eastAsia="仿宋_GB2312" w:hAnsi="仿宋_GB2312" w:cs="仿宋_GB2312" w:hint="eastAsia"/>
                <w:sz w:val="24"/>
                <w:szCs w:val="24"/>
                <w:lang w:eastAsia="zh-CN"/>
              </w:rPr>
              <w:t>必修</w:t>
            </w:r>
            <w:r>
              <w:rPr>
                <w:rFonts w:ascii="仿宋_GB2312" w:eastAsia="仿宋_GB2312" w:hAnsi="仿宋_GB2312" w:cs="仿宋_GB2312" w:hint="eastAsia"/>
                <w:sz w:val="24"/>
                <w:szCs w:val="24"/>
              </w:rPr>
              <w:t>课</w:t>
            </w:r>
          </w:p>
        </w:tc>
        <w:tc>
          <w:tcPr>
            <w:tcW w:w="2977" w:type="dxa"/>
            <w:tcBorders>
              <w:top w:val="nil"/>
              <w:left w:val="nil"/>
              <w:bottom w:val="single" w:sz="4" w:space="0" w:color="auto"/>
              <w:right w:val="single" w:sz="4" w:space="0" w:color="auto"/>
            </w:tcBorders>
            <w:vAlign w:val="center"/>
          </w:tcPr>
          <w:p w14:paraId="4B6E1215"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中国马克思主义与当代</w:t>
            </w:r>
          </w:p>
        </w:tc>
        <w:tc>
          <w:tcPr>
            <w:tcW w:w="1281" w:type="dxa"/>
            <w:tcBorders>
              <w:top w:val="nil"/>
              <w:left w:val="nil"/>
              <w:bottom w:val="single" w:sz="4" w:space="0" w:color="auto"/>
              <w:right w:val="single" w:sz="4" w:space="0" w:color="auto"/>
            </w:tcBorders>
            <w:vAlign w:val="center"/>
          </w:tcPr>
          <w:p w14:paraId="58B8814D" w14:textId="77777777" w:rsidR="00AF43BD" w:rsidRDefault="00000000">
            <w:pPr>
              <w:jc w:val="center"/>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必修</w:t>
            </w:r>
          </w:p>
        </w:tc>
        <w:tc>
          <w:tcPr>
            <w:tcW w:w="821" w:type="dxa"/>
            <w:tcBorders>
              <w:top w:val="nil"/>
              <w:left w:val="nil"/>
              <w:bottom w:val="single" w:sz="4" w:space="0" w:color="auto"/>
              <w:right w:val="single" w:sz="4" w:space="0" w:color="auto"/>
            </w:tcBorders>
            <w:vAlign w:val="center"/>
          </w:tcPr>
          <w:p w14:paraId="3945405D"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2</w:t>
            </w:r>
          </w:p>
        </w:tc>
        <w:tc>
          <w:tcPr>
            <w:tcW w:w="1418" w:type="dxa"/>
            <w:vMerge w:val="restart"/>
            <w:tcBorders>
              <w:top w:val="single" w:sz="4" w:space="0" w:color="auto"/>
              <w:left w:val="single" w:sz="4" w:space="0" w:color="auto"/>
              <w:right w:val="single" w:sz="4" w:space="0" w:color="auto"/>
            </w:tcBorders>
            <w:vAlign w:val="center"/>
          </w:tcPr>
          <w:p w14:paraId="30C2FE03"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4</w:t>
            </w:r>
          </w:p>
        </w:tc>
      </w:tr>
      <w:tr w:rsidR="00AF43BD" w14:paraId="076AA474" w14:textId="77777777">
        <w:trPr>
          <w:trHeight w:val="496"/>
        </w:trPr>
        <w:tc>
          <w:tcPr>
            <w:tcW w:w="1980" w:type="dxa"/>
            <w:gridSpan w:val="2"/>
            <w:vMerge/>
            <w:tcBorders>
              <w:left w:val="single" w:sz="4" w:space="0" w:color="auto"/>
              <w:right w:val="single" w:sz="4" w:space="0" w:color="auto"/>
            </w:tcBorders>
            <w:vAlign w:val="center"/>
          </w:tcPr>
          <w:p w14:paraId="26D01E73" w14:textId="77777777" w:rsidR="00AF43BD" w:rsidRDefault="00AF43BD">
            <w:pPr>
              <w:jc w:val="center"/>
              <w:rPr>
                <w:rFonts w:ascii="仿宋_GB2312" w:eastAsia="仿宋_GB2312" w:hAnsi="仿宋_GB2312" w:cs="仿宋_GB2312" w:hint="eastAsia"/>
                <w:sz w:val="24"/>
                <w:szCs w:val="24"/>
              </w:rPr>
            </w:pPr>
          </w:p>
        </w:tc>
        <w:tc>
          <w:tcPr>
            <w:tcW w:w="2977" w:type="dxa"/>
            <w:tcBorders>
              <w:top w:val="nil"/>
              <w:left w:val="nil"/>
              <w:bottom w:val="single" w:sz="4" w:space="0" w:color="auto"/>
              <w:right w:val="single" w:sz="4" w:space="0" w:color="auto"/>
            </w:tcBorders>
            <w:vAlign w:val="center"/>
          </w:tcPr>
          <w:p w14:paraId="192CDC4D"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研究生职业规划与求职攻略</w:t>
            </w:r>
          </w:p>
        </w:tc>
        <w:tc>
          <w:tcPr>
            <w:tcW w:w="1281" w:type="dxa"/>
            <w:tcBorders>
              <w:top w:val="nil"/>
              <w:left w:val="nil"/>
              <w:bottom w:val="single" w:sz="4" w:space="0" w:color="auto"/>
              <w:right w:val="single" w:sz="4" w:space="0" w:color="auto"/>
            </w:tcBorders>
            <w:vAlign w:val="center"/>
          </w:tcPr>
          <w:p w14:paraId="690C2420" w14:textId="77777777" w:rsidR="00AF43BD" w:rsidRDefault="00000000">
            <w:pPr>
              <w:jc w:val="center"/>
              <w:rPr>
                <w:rFonts w:ascii="仿宋_GB2312" w:eastAsia="仿宋_GB2312" w:hAnsi="仿宋_GB2312" w:cs="仿宋_GB2312" w:hint="eastAsia"/>
                <w:sz w:val="24"/>
                <w:szCs w:val="24"/>
              </w:rPr>
            </w:pPr>
            <w:r>
              <w:rPr>
                <w:rFonts w:ascii="仿宋_GB2312" w:eastAsia="仿宋_GB2312" w:hAnsi="仿宋_GB2312" w:cs="仿宋_GB2312" w:hint="eastAsia"/>
                <w:sz w:val="24"/>
                <w:szCs w:val="24"/>
                <w:lang w:eastAsia="zh-CN"/>
              </w:rPr>
              <w:t>必修</w:t>
            </w:r>
          </w:p>
        </w:tc>
        <w:tc>
          <w:tcPr>
            <w:tcW w:w="821" w:type="dxa"/>
            <w:tcBorders>
              <w:top w:val="nil"/>
              <w:left w:val="nil"/>
              <w:bottom w:val="single" w:sz="4" w:space="0" w:color="auto"/>
              <w:right w:val="single" w:sz="4" w:space="0" w:color="auto"/>
            </w:tcBorders>
            <w:vAlign w:val="center"/>
          </w:tcPr>
          <w:p w14:paraId="11D2DBA2"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1</w:t>
            </w:r>
          </w:p>
        </w:tc>
        <w:tc>
          <w:tcPr>
            <w:tcW w:w="1418" w:type="dxa"/>
            <w:vMerge/>
            <w:tcBorders>
              <w:left w:val="single" w:sz="4" w:space="0" w:color="auto"/>
              <w:right w:val="single" w:sz="4" w:space="0" w:color="auto"/>
            </w:tcBorders>
            <w:vAlign w:val="center"/>
          </w:tcPr>
          <w:p w14:paraId="6140A0EE" w14:textId="77777777" w:rsidR="00AF43BD" w:rsidRDefault="00AF43BD">
            <w:pPr>
              <w:jc w:val="center"/>
              <w:rPr>
                <w:rFonts w:ascii="仿宋_GB2312" w:eastAsia="仿宋_GB2312" w:hAnsi="仿宋_GB2312" w:cs="仿宋_GB2312" w:hint="eastAsia"/>
                <w:sz w:val="24"/>
                <w:szCs w:val="24"/>
                <w:lang w:eastAsia="zh-CN"/>
              </w:rPr>
            </w:pPr>
          </w:p>
        </w:tc>
      </w:tr>
      <w:tr w:rsidR="00AF43BD" w14:paraId="38E62413" w14:textId="77777777">
        <w:trPr>
          <w:trHeight w:val="496"/>
        </w:trPr>
        <w:tc>
          <w:tcPr>
            <w:tcW w:w="1980" w:type="dxa"/>
            <w:gridSpan w:val="2"/>
            <w:vMerge/>
            <w:tcBorders>
              <w:left w:val="single" w:sz="4" w:space="0" w:color="auto"/>
              <w:bottom w:val="single" w:sz="4" w:space="0" w:color="auto"/>
              <w:right w:val="single" w:sz="4" w:space="0" w:color="auto"/>
            </w:tcBorders>
            <w:vAlign w:val="center"/>
          </w:tcPr>
          <w:p w14:paraId="2133AF63" w14:textId="77777777" w:rsidR="00AF43BD" w:rsidRDefault="00AF43BD">
            <w:pPr>
              <w:jc w:val="center"/>
              <w:rPr>
                <w:rFonts w:ascii="仿宋_GB2312" w:eastAsia="仿宋_GB2312" w:hAnsi="仿宋_GB2312" w:cs="仿宋_GB2312" w:hint="eastAsia"/>
                <w:sz w:val="24"/>
                <w:szCs w:val="24"/>
              </w:rPr>
            </w:pPr>
          </w:p>
        </w:tc>
        <w:tc>
          <w:tcPr>
            <w:tcW w:w="2977" w:type="dxa"/>
            <w:tcBorders>
              <w:top w:val="nil"/>
              <w:left w:val="nil"/>
              <w:bottom w:val="single" w:sz="4" w:space="0" w:color="auto"/>
              <w:right w:val="single" w:sz="4" w:space="0" w:color="auto"/>
            </w:tcBorders>
            <w:vAlign w:val="center"/>
          </w:tcPr>
          <w:p w14:paraId="56DC3A1C" w14:textId="77777777" w:rsidR="00AF43BD" w:rsidRDefault="00000000">
            <w:pPr>
              <w:jc w:val="center"/>
              <w:rPr>
                <w:rFonts w:ascii="仿宋_GB2312" w:eastAsia="仿宋_GB2312" w:hAnsi="仿宋_GB2312" w:cs="仿宋_GB2312" w:hint="eastAsia"/>
                <w:sz w:val="24"/>
                <w:szCs w:val="24"/>
              </w:rPr>
            </w:pPr>
            <w:r>
              <w:rPr>
                <w:rFonts w:ascii="仿宋_GB2312" w:eastAsia="仿宋_GB2312" w:hAnsi="仿宋_GB2312" w:cs="仿宋_GB2312" w:hint="eastAsia"/>
                <w:sz w:val="24"/>
                <w:szCs w:val="24"/>
                <w:lang w:eastAsia="zh-CN"/>
              </w:rPr>
              <w:t>人工智能应用</w:t>
            </w:r>
          </w:p>
        </w:tc>
        <w:tc>
          <w:tcPr>
            <w:tcW w:w="1281" w:type="dxa"/>
            <w:tcBorders>
              <w:top w:val="nil"/>
              <w:left w:val="nil"/>
              <w:bottom w:val="single" w:sz="4" w:space="0" w:color="auto"/>
              <w:right w:val="single" w:sz="4" w:space="0" w:color="auto"/>
            </w:tcBorders>
            <w:vAlign w:val="center"/>
          </w:tcPr>
          <w:p w14:paraId="59AE3982"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必修</w:t>
            </w:r>
          </w:p>
        </w:tc>
        <w:tc>
          <w:tcPr>
            <w:tcW w:w="821" w:type="dxa"/>
            <w:tcBorders>
              <w:top w:val="nil"/>
              <w:left w:val="nil"/>
              <w:bottom w:val="single" w:sz="4" w:space="0" w:color="auto"/>
              <w:right w:val="single" w:sz="4" w:space="0" w:color="auto"/>
            </w:tcBorders>
            <w:vAlign w:val="center"/>
          </w:tcPr>
          <w:p w14:paraId="0BE11B4D"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1</w:t>
            </w:r>
          </w:p>
        </w:tc>
        <w:tc>
          <w:tcPr>
            <w:tcW w:w="1418" w:type="dxa"/>
            <w:vMerge/>
            <w:tcBorders>
              <w:left w:val="single" w:sz="4" w:space="0" w:color="auto"/>
              <w:bottom w:val="single" w:sz="4" w:space="0" w:color="auto"/>
              <w:right w:val="single" w:sz="4" w:space="0" w:color="auto"/>
            </w:tcBorders>
            <w:vAlign w:val="center"/>
          </w:tcPr>
          <w:p w14:paraId="55E1221A" w14:textId="77777777" w:rsidR="00AF43BD" w:rsidRDefault="00AF43BD">
            <w:pPr>
              <w:jc w:val="center"/>
              <w:rPr>
                <w:rFonts w:ascii="仿宋_GB2312" w:eastAsia="仿宋_GB2312" w:hAnsi="仿宋_GB2312" w:cs="仿宋_GB2312" w:hint="eastAsia"/>
                <w:sz w:val="24"/>
                <w:szCs w:val="24"/>
                <w:lang w:eastAsia="zh-CN"/>
              </w:rPr>
            </w:pPr>
          </w:p>
        </w:tc>
      </w:tr>
      <w:tr w:rsidR="00AF43BD" w14:paraId="3CBC36D2" w14:textId="77777777">
        <w:trPr>
          <w:trHeight w:val="496"/>
        </w:trPr>
        <w:tc>
          <w:tcPr>
            <w:tcW w:w="1980" w:type="dxa"/>
            <w:gridSpan w:val="2"/>
            <w:tcBorders>
              <w:left w:val="single" w:sz="4" w:space="0" w:color="auto"/>
              <w:bottom w:val="single" w:sz="4" w:space="0" w:color="auto"/>
              <w:right w:val="single" w:sz="4" w:space="0" w:color="auto"/>
            </w:tcBorders>
            <w:vAlign w:val="center"/>
          </w:tcPr>
          <w:p w14:paraId="7002C491"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公共选修课</w:t>
            </w:r>
          </w:p>
        </w:tc>
        <w:tc>
          <w:tcPr>
            <w:tcW w:w="2977" w:type="dxa"/>
            <w:tcBorders>
              <w:top w:val="nil"/>
              <w:left w:val="nil"/>
              <w:bottom w:val="single" w:sz="4" w:space="0" w:color="auto"/>
              <w:right w:val="single" w:sz="4" w:space="0" w:color="auto"/>
            </w:tcBorders>
            <w:vAlign w:val="center"/>
          </w:tcPr>
          <w:p w14:paraId="353BDC72"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研究生新生心适应</w:t>
            </w:r>
          </w:p>
        </w:tc>
        <w:tc>
          <w:tcPr>
            <w:tcW w:w="1281" w:type="dxa"/>
            <w:tcBorders>
              <w:top w:val="nil"/>
              <w:left w:val="nil"/>
              <w:bottom w:val="single" w:sz="4" w:space="0" w:color="auto"/>
              <w:right w:val="single" w:sz="4" w:space="0" w:color="auto"/>
            </w:tcBorders>
            <w:vAlign w:val="center"/>
          </w:tcPr>
          <w:p w14:paraId="5484DF4C"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选修</w:t>
            </w:r>
          </w:p>
        </w:tc>
        <w:tc>
          <w:tcPr>
            <w:tcW w:w="821" w:type="dxa"/>
            <w:tcBorders>
              <w:top w:val="nil"/>
              <w:left w:val="nil"/>
              <w:bottom w:val="single" w:sz="4" w:space="0" w:color="auto"/>
              <w:right w:val="single" w:sz="4" w:space="0" w:color="auto"/>
            </w:tcBorders>
            <w:vAlign w:val="center"/>
          </w:tcPr>
          <w:p w14:paraId="0877574E"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1</w:t>
            </w:r>
          </w:p>
        </w:tc>
        <w:tc>
          <w:tcPr>
            <w:tcW w:w="1418" w:type="dxa"/>
            <w:tcBorders>
              <w:left w:val="single" w:sz="4" w:space="0" w:color="auto"/>
              <w:bottom w:val="single" w:sz="4" w:space="0" w:color="auto"/>
              <w:right w:val="single" w:sz="4" w:space="0" w:color="auto"/>
            </w:tcBorders>
            <w:vAlign w:val="center"/>
          </w:tcPr>
          <w:p w14:paraId="655D0601"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1</w:t>
            </w:r>
          </w:p>
        </w:tc>
      </w:tr>
      <w:tr w:rsidR="00AF43BD" w14:paraId="10F9021C" w14:textId="77777777">
        <w:trPr>
          <w:trHeight w:val="419"/>
        </w:trPr>
        <w:tc>
          <w:tcPr>
            <w:tcW w:w="1980" w:type="dxa"/>
            <w:gridSpan w:val="2"/>
            <w:vMerge w:val="restart"/>
            <w:tcBorders>
              <w:top w:val="single" w:sz="4" w:space="0" w:color="auto"/>
              <w:left w:val="single" w:sz="4" w:space="0" w:color="auto"/>
              <w:right w:val="single" w:sz="4" w:space="0" w:color="auto"/>
            </w:tcBorders>
            <w:vAlign w:val="center"/>
          </w:tcPr>
          <w:p w14:paraId="1B8FE3B1" w14:textId="77777777" w:rsidR="00AF43BD" w:rsidRDefault="00000000">
            <w:pPr>
              <w:spacing w:line="30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专业必修课</w:t>
            </w:r>
          </w:p>
          <w:p w14:paraId="7A1EC920"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single" w:sz="4" w:space="0" w:color="auto"/>
              <w:left w:val="nil"/>
              <w:bottom w:val="single" w:sz="4" w:space="0" w:color="auto"/>
              <w:right w:val="single" w:sz="4" w:space="0" w:color="auto"/>
            </w:tcBorders>
            <w:vAlign w:val="center"/>
          </w:tcPr>
          <w:p w14:paraId="0A16C9F0"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学术规范与科研技能</w:t>
            </w:r>
          </w:p>
        </w:tc>
        <w:tc>
          <w:tcPr>
            <w:tcW w:w="1281" w:type="dxa"/>
            <w:tcBorders>
              <w:top w:val="single" w:sz="4" w:space="0" w:color="auto"/>
              <w:left w:val="nil"/>
              <w:bottom w:val="single" w:sz="4" w:space="0" w:color="auto"/>
              <w:right w:val="single" w:sz="4" w:space="0" w:color="auto"/>
            </w:tcBorders>
            <w:vAlign w:val="center"/>
          </w:tcPr>
          <w:p w14:paraId="274DB2AA"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必修</w:t>
            </w:r>
          </w:p>
        </w:tc>
        <w:tc>
          <w:tcPr>
            <w:tcW w:w="821" w:type="dxa"/>
            <w:tcBorders>
              <w:top w:val="single" w:sz="4" w:space="0" w:color="auto"/>
              <w:left w:val="nil"/>
              <w:bottom w:val="single" w:sz="4" w:space="0" w:color="auto"/>
              <w:right w:val="single" w:sz="4" w:space="0" w:color="auto"/>
            </w:tcBorders>
            <w:vAlign w:val="center"/>
          </w:tcPr>
          <w:p w14:paraId="6ACBD941"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1</w:t>
            </w:r>
          </w:p>
        </w:tc>
        <w:tc>
          <w:tcPr>
            <w:tcW w:w="1418" w:type="dxa"/>
            <w:vMerge w:val="restart"/>
            <w:tcBorders>
              <w:top w:val="single" w:sz="4" w:space="0" w:color="auto"/>
              <w:left w:val="single" w:sz="4" w:space="0" w:color="auto"/>
              <w:right w:val="single" w:sz="4" w:space="0" w:color="auto"/>
            </w:tcBorders>
            <w:vAlign w:val="center"/>
          </w:tcPr>
          <w:p w14:paraId="295A86FB" w14:textId="77777777" w:rsidR="00AF43BD" w:rsidRDefault="00000000">
            <w:pPr>
              <w:spacing w:line="30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6</w:t>
            </w:r>
          </w:p>
        </w:tc>
      </w:tr>
      <w:tr w:rsidR="00AF43BD" w14:paraId="3A94BDDB" w14:textId="77777777">
        <w:trPr>
          <w:trHeight w:val="410"/>
        </w:trPr>
        <w:tc>
          <w:tcPr>
            <w:tcW w:w="1980" w:type="dxa"/>
            <w:gridSpan w:val="2"/>
            <w:vMerge/>
            <w:tcBorders>
              <w:left w:val="single" w:sz="4" w:space="0" w:color="auto"/>
              <w:right w:val="single" w:sz="4" w:space="0" w:color="auto"/>
            </w:tcBorders>
            <w:vAlign w:val="center"/>
          </w:tcPr>
          <w:p w14:paraId="3BD2A51E"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nil"/>
              <w:left w:val="nil"/>
              <w:bottom w:val="single" w:sz="4" w:space="0" w:color="auto"/>
              <w:right w:val="single" w:sz="4" w:space="0" w:color="auto"/>
            </w:tcBorders>
            <w:vAlign w:val="center"/>
          </w:tcPr>
          <w:p w14:paraId="1B154B8A" w14:textId="77777777" w:rsidR="00AF43BD" w:rsidRPr="00DD0056" w:rsidRDefault="00000000">
            <w:pPr>
              <w:jc w:val="center"/>
              <w:rPr>
                <w:rFonts w:ascii="仿宋_GB2312" w:eastAsia="仿宋_GB2312" w:hAnsi="仿宋_GB2312" w:cs="仿宋_GB2312" w:hint="eastAsia"/>
                <w:sz w:val="24"/>
                <w:szCs w:val="24"/>
                <w:lang w:eastAsia="zh-CN"/>
              </w:rPr>
            </w:pPr>
            <w:r w:rsidRPr="00DD0056">
              <w:rPr>
                <w:rFonts w:ascii="仿宋_GB2312" w:eastAsia="仿宋_GB2312" w:hAnsi="仿宋_GB2312" w:cs="仿宋_GB2312" w:hint="eastAsia"/>
                <w:sz w:val="24"/>
                <w:szCs w:val="24"/>
                <w:lang w:eastAsia="zh-CN"/>
              </w:rPr>
              <w:t>轻工技术与工程前沿技术</w:t>
            </w:r>
          </w:p>
        </w:tc>
        <w:tc>
          <w:tcPr>
            <w:tcW w:w="1281" w:type="dxa"/>
            <w:tcBorders>
              <w:top w:val="nil"/>
              <w:left w:val="nil"/>
              <w:bottom w:val="single" w:sz="4" w:space="0" w:color="auto"/>
              <w:right w:val="single" w:sz="4" w:space="0" w:color="auto"/>
            </w:tcBorders>
            <w:vAlign w:val="center"/>
          </w:tcPr>
          <w:p w14:paraId="1AFFA63B" w14:textId="77777777" w:rsidR="00AF43BD" w:rsidRPr="00DD0056" w:rsidRDefault="00000000">
            <w:pPr>
              <w:jc w:val="center"/>
              <w:rPr>
                <w:rFonts w:ascii="仿宋_GB2312" w:eastAsia="仿宋_GB2312" w:hAnsi="仿宋_GB2312" w:cs="仿宋_GB2312" w:hint="eastAsia"/>
                <w:sz w:val="24"/>
                <w:szCs w:val="24"/>
                <w:lang w:eastAsia="zh-CN"/>
              </w:rPr>
            </w:pPr>
            <w:r w:rsidRPr="00DD0056">
              <w:rPr>
                <w:rFonts w:ascii="仿宋_GB2312" w:eastAsia="仿宋_GB2312" w:hAnsi="仿宋_GB2312" w:cs="仿宋_GB2312" w:hint="eastAsia"/>
                <w:sz w:val="24"/>
                <w:szCs w:val="24"/>
                <w:lang w:eastAsia="zh-CN"/>
              </w:rPr>
              <w:t>必修</w:t>
            </w:r>
          </w:p>
        </w:tc>
        <w:tc>
          <w:tcPr>
            <w:tcW w:w="821" w:type="dxa"/>
            <w:tcBorders>
              <w:top w:val="nil"/>
              <w:left w:val="nil"/>
              <w:bottom w:val="single" w:sz="4" w:space="0" w:color="auto"/>
              <w:right w:val="single" w:sz="4" w:space="0" w:color="auto"/>
            </w:tcBorders>
            <w:vAlign w:val="center"/>
          </w:tcPr>
          <w:p w14:paraId="5C98E8A5" w14:textId="77777777" w:rsidR="00AF43BD" w:rsidRPr="00DD0056" w:rsidRDefault="00000000">
            <w:pPr>
              <w:jc w:val="center"/>
              <w:rPr>
                <w:rFonts w:ascii="仿宋_GB2312" w:eastAsia="仿宋_GB2312" w:hAnsi="仿宋_GB2312" w:cs="仿宋_GB2312" w:hint="eastAsia"/>
                <w:sz w:val="24"/>
                <w:szCs w:val="24"/>
                <w:lang w:eastAsia="zh-CN"/>
              </w:rPr>
            </w:pPr>
            <w:r w:rsidRPr="00DD0056">
              <w:rPr>
                <w:rFonts w:ascii="仿宋_GB2312" w:eastAsia="仿宋_GB2312" w:hAnsi="仿宋_GB2312" w:cs="仿宋_GB2312" w:hint="eastAsia"/>
                <w:sz w:val="24"/>
                <w:szCs w:val="24"/>
                <w:lang w:eastAsia="zh-CN"/>
              </w:rPr>
              <w:t>2</w:t>
            </w:r>
          </w:p>
        </w:tc>
        <w:tc>
          <w:tcPr>
            <w:tcW w:w="1418" w:type="dxa"/>
            <w:vMerge/>
            <w:tcBorders>
              <w:left w:val="single" w:sz="4" w:space="0" w:color="auto"/>
              <w:right w:val="single" w:sz="4" w:space="0" w:color="auto"/>
            </w:tcBorders>
            <w:vAlign w:val="center"/>
          </w:tcPr>
          <w:p w14:paraId="7121D928"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0C642BD2" w14:textId="77777777">
        <w:trPr>
          <w:trHeight w:val="416"/>
        </w:trPr>
        <w:tc>
          <w:tcPr>
            <w:tcW w:w="1980" w:type="dxa"/>
            <w:gridSpan w:val="2"/>
            <w:vMerge/>
            <w:tcBorders>
              <w:left w:val="single" w:sz="4" w:space="0" w:color="auto"/>
              <w:right w:val="single" w:sz="4" w:space="0" w:color="auto"/>
            </w:tcBorders>
            <w:vAlign w:val="center"/>
          </w:tcPr>
          <w:p w14:paraId="77444ACE"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nil"/>
              <w:left w:val="nil"/>
              <w:bottom w:val="single" w:sz="4" w:space="0" w:color="auto"/>
              <w:right w:val="single" w:sz="4" w:space="0" w:color="auto"/>
            </w:tcBorders>
            <w:vAlign w:val="center"/>
          </w:tcPr>
          <w:p w14:paraId="11F6AF49"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轻工绿色制造案例解析</w:t>
            </w:r>
          </w:p>
        </w:tc>
        <w:tc>
          <w:tcPr>
            <w:tcW w:w="1281" w:type="dxa"/>
            <w:tcBorders>
              <w:top w:val="nil"/>
              <w:left w:val="nil"/>
              <w:bottom w:val="single" w:sz="4" w:space="0" w:color="auto"/>
              <w:right w:val="single" w:sz="4" w:space="0" w:color="auto"/>
            </w:tcBorders>
            <w:vAlign w:val="center"/>
          </w:tcPr>
          <w:p w14:paraId="3FAF2D1B"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必修</w:t>
            </w:r>
          </w:p>
        </w:tc>
        <w:tc>
          <w:tcPr>
            <w:tcW w:w="821" w:type="dxa"/>
            <w:tcBorders>
              <w:top w:val="nil"/>
              <w:left w:val="nil"/>
              <w:bottom w:val="single" w:sz="4" w:space="0" w:color="auto"/>
              <w:right w:val="single" w:sz="4" w:space="0" w:color="auto"/>
            </w:tcBorders>
            <w:vAlign w:val="center"/>
          </w:tcPr>
          <w:p w14:paraId="3E623761"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2</w:t>
            </w:r>
          </w:p>
        </w:tc>
        <w:tc>
          <w:tcPr>
            <w:tcW w:w="1418" w:type="dxa"/>
            <w:vMerge/>
            <w:tcBorders>
              <w:left w:val="single" w:sz="4" w:space="0" w:color="auto"/>
              <w:right w:val="single" w:sz="4" w:space="0" w:color="auto"/>
            </w:tcBorders>
            <w:vAlign w:val="center"/>
          </w:tcPr>
          <w:p w14:paraId="58F36485"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3BCBC8D7" w14:textId="77777777">
        <w:trPr>
          <w:trHeight w:val="416"/>
        </w:trPr>
        <w:tc>
          <w:tcPr>
            <w:tcW w:w="1980" w:type="dxa"/>
            <w:gridSpan w:val="2"/>
            <w:vMerge/>
            <w:tcBorders>
              <w:left w:val="single" w:sz="4" w:space="0" w:color="auto"/>
              <w:bottom w:val="single" w:sz="4" w:space="0" w:color="auto"/>
              <w:right w:val="single" w:sz="4" w:space="0" w:color="auto"/>
            </w:tcBorders>
            <w:vAlign w:val="center"/>
          </w:tcPr>
          <w:p w14:paraId="79F1C12C"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nil"/>
              <w:left w:val="nil"/>
              <w:bottom w:val="single" w:sz="4" w:space="0" w:color="auto"/>
              <w:right w:val="single" w:sz="4" w:space="0" w:color="auto"/>
            </w:tcBorders>
            <w:vAlign w:val="center"/>
          </w:tcPr>
          <w:p w14:paraId="4A8CA36E"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轻工资源工程化转化</w:t>
            </w:r>
          </w:p>
        </w:tc>
        <w:tc>
          <w:tcPr>
            <w:tcW w:w="1281" w:type="dxa"/>
            <w:tcBorders>
              <w:top w:val="nil"/>
              <w:left w:val="nil"/>
              <w:bottom w:val="single" w:sz="4" w:space="0" w:color="auto"/>
              <w:right w:val="single" w:sz="4" w:space="0" w:color="auto"/>
            </w:tcBorders>
            <w:vAlign w:val="center"/>
          </w:tcPr>
          <w:p w14:paraId="106682EA"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必修</w:t>
            </w:r>
          </w:p>
        </w:tc>
        <w:tc>
          <w:tcPr>
            <w:tcW w:w="821" w:type="dxa"/>
            <w:tcBorders>
              <w:top w:val="nil"/>
              <w:left w:val="nil"/>
              <w:bottom w:val="single" w:sz="4" w:space="0" w:color="auto"/>
              <w:right w:val="single" w:sz="4" w:space="0" w:color="auto"/>
            </w:tcBorders>
            <w:vAlign w:val="center"/>
          </w:tcPr>
          <w:p w14:paraId="47B8F737"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1</w:t>
            </w:r>
          </w:p>
        </w:tc>
        <w:tc>
          <w:tcPr>
            <w:tcW w:w="1418" w:type="dxa"/>
            <w:vMerge/>
            <w:tcBorders>
              <w:left w:val="single" w:sz="4" w:space="0" w:color="auto"/>
              <w:bottom w:val="single" w:sz="4" w:space="0" w:color="auto"/>
              <w:right w:val="single" w:sz="4" w:space="0" w:color="auto"/>
            </w:tcBorders>
            <w:vAlign w:val="center"/>
          </w:tcPr>
          <w:p w14:paraId="1DF0D944"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5C97BD42" w14:textId="77777777">
        <w:trPr>
          <w:trHeight w:val="570"/>
        </w:trPr>
        <w:tc>
          <w:tcPr>
            <w:tcW w:w="562" w:type="dxa"/>
            <w:vMerge w:val="restart"/>
            <w:tcBorders>
              <w:top w:val="single" w:sz="4" w:space="0" w:color="auto"/>
              <w:left w:val="single" w:sz="4" w:space="0" w:color="auto"/>
              <w:bottom w:val="single" w:sz="4" w:space="0" w:color="auto"/>
              <w:right w:val="single" w:sz="4" w:space="0" w:color="auto"/>
            </w:tcBorders>
            <w:vAlign w:val="center"/>
          </w:tcPr>
          <w:p w14:paraId="13E4B05B" w14:textId="77777777" w:rsidR="00AF43BD" w:rsidRDefault="00000000">
            <w:pPr>
              <w:spacing w:line="300" w:lineRule="auto"/>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专业选修课</w:t>
            </w:r>
          </w:p>
        </w:tc>
        <w:tc>
          <w:tcPr>
            <w:tcW w:w="1418" w:type="dxa"/>
            <w:vMerge w:val="restart"/>
            <w:tcBorders>
              <w:top w:val="single" w:sz="4" w:space="0" w:color="auto"/>
              <w:left w:val="single" w:sz="4" w:space="0" w:color="auto"/>
              <w:right w:val="single" w:sz="4" w:space="0" w:color="auto"/>
            </w:tcBorders>
            <w:vAlign w:val="center"/>
          </w:tcPr>
          <w:p w14:paraId="474E5B24"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single" w:sz="4" w:space="0" w:color="auto"/>
              <w:left w:val="single" w:sz="4" w:space="0" w:color="auto"/>
              <w:bottom w:val="single" w:sz="4" w:space="0" w:color="auto"/>
              <w:right w:val="single" w:sz="4" w:space="0" w:color="auto"/>
            </w:tcBorders>
            <w:vAlign w:val="center"/>
          </w:tcPr>
          <w:p w14:paraId="240B43E1"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制浆造纸清洁生产进展</w:t>
            </w:r>
          </w:p>
        </w:tc>
        <w:tc>
          <w:tcPr>
            <w:tcW w:w="1281" w:type="dxa"/>
            <w:tcBorders>
              <w:top w:val="single" w:sz="4" w:space="0" w:color="auto"/>
              <w:left w:val="single" w:sz="4" w:space="0" w:color="auto"/>
              <w:bottom w:val="single" w:sz="4" w:space="0" w:color="auto"/>
              <w:right w:val="single" w:sz="4" w:space="0" w:color="auto"/>
            </w:tcBorders>
            <w:vAlign w:val="center"/>
          </w:tcPr>
          <w:p w14:paraId="5F37D35F"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选修</w:t>
            </w:r>
          </w:p>
        </w:tc>
        <w:tc>
          <w:tcPr>
            <w:tcW w:w="821" w:type="dxa"/>
            <w:tcBorders>
              <w:top w:val="single" w:sz="4" w:space="0" w:color="auto"/>
              <w:left w:val="single" w:sz="4" w:space="0" w:color="auto"/>
              <w:bottom w:val="single" w:sz="4" w:space="0" w:color="auto"/>
              <w:right w:val="single" w:sz="4" w:space="0" w:color="auto"/>
            </w:tcBorders>
            <w:vAlign w:val="center"/>
          </w:tcPr>
          <w:p w14:paraId="7BB4CC09"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2</w:t>
            </w:r>
          </w:p>
        </w:tc>
        <w:tc>
          <w:tcPr>
            <w:tcW w:w="1418" w:type="dxa"/>
            <w:vMerge w:val="restart"/>
            <w:tcBorders>
              <w:top w:val="single" w:sz="4" w:space="0" w:color="auto"/>
              <w:left w:val="nil"/>
              <w:bottom w:val="single" w:sz="4" w:space="0" w:color="auto"/>
              <w:right w:val="single" w:sz="4" w:space="0" w:color="auto"/>
            </w:tcBorders>
            <w:vAlign w:val="center"/>
          </w:tcPr>
          <w:p w14:paraId="62045E04" w14:textId="679CF2F4" w:rsidR="00AF43BD" w:rsidRDefault="00000000">
            <w:pPr>
              <w:spacing w:line="30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w:t>
            </w:r>
            <w:r w:rsidR="00407705">
              <w:rPr>
                <w:rFonts w:ascii="仿宋_GB2312" w:eastAsia="仿宋_GB2312" w:hAnsi="仿宋_GB2312" w:cs="仿宋_GB2312" w:hint="eastAsia"/>
                <w:sz w:val="24"/>
                <w:szCs w:val="24"/>
                <w:lang w:eastAsia="zh-CN"/>
              </w:rPr>
              <w:t>5</w:t>
            </w:r>
          </w:p>
        </w:tc>
      </w:tr>
      <w:tr w:rsidR="00AF43BD" w14:paraId="2097E064" w14:textId="77777777">
        <w:trPr>
          <w:trHeight w:val="570"/>
        </w:trPr>
        <w:tc>
          <w:tcPr>
            <w:tcW w:w="562" w:type="dxa"/>
            <w:vMerge/>
            <w:tcBorders>
              <w:top w:val="single" w:sz="4" w:space="0" w:color="auto"/>
              <w:left w:val="single" w:sz="4" w:space="0" w:color="auto"/>
              <w:bottom w:val="single" w:sz="4" w:space="0" w:color="auto"/>
              <w:right w:val="single" w:sz="4" w:space="0" w:color="auto"/>
            </w:tcBorders>
            <w:vAlign w:val="center"/>
          </w:tcPr>
          <w:p w14:paraId="444465D7"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1418" w:type="dxa"/>
            <w:vMerge/>
            <w:tcBorders>
              <w:left w:val="single" w:sz="4" w:space="0" w:color="auto"/>
              <w:right w:val="single" w:sz="4" w:space="0" w:color="auto"/>
            </w:tcBorders>
            <w:vAlign w:val="center"/>
          </w:tcPr>
          <w:p w14:paraId="0F03D348"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single" w:sz="4" w:space="0" w:color="auto"/>
              <w:left w:val="single" w:sz="4" w:space="0" w:color="auto"/>
              <w:bottom w:val="single" w:sz="4" w:space="0" w:color="auto"/>
              <w:right w:val="single" w:sz="4" w:space="0" w:color="auto"/>
            </w:tcBorders>
            <w:vAlign w:val="center"/>
          </w:tcPr>
          <w:p w14:paraId="20CD3365" w14:textId="77777777" w:rsidR="00AF43BD" w:rsidRPr="00DD0056" w:rsidRDefault="00000000">
            <w:pPr>
              <w:jc w:val="center"/>
              <w:rPr>
                <w:rFonts w:ascii="仿宋_GB2312" w:eastAsia="仿宋_GB2312" w:hAnsi="仿宋_GB2312" w:cs="仿宋_GB2312" w:hint="eastAsia"/>
                <w:sz w:val="24"/>
                <w:szCs w:val="24"/>
                <w:lang w:eastAsia="zh-CN"/>
              </w:rPr>
            </w:pPr>
            <w:r w:rsidRPr="00DD0056">
              <w:rPr>
                <w:rFonts w:ascii="仿宋_GB2312" w:eastAsia="仿宋_GB2312" w:hAnsi="仿宋_GB2312" w:cs="仿宋_GB2312"/>
                <w:sz w:val="24"/>
                <w:szCs w:val="24"/>
                <w:lang w:eastAsia="zh-CN"/>
              </w:rPr>
              <w:t>Advanced bio</w:t>
            </w:r>
            <w:r w:rsidRPr="00DD0056">
              <w:rPr>
                <w:rFonts w:ascii="仿宋_GB2312" w:eastAsia="仿宋_GB2312" w:hAnsi="仿宋_GB2312" w:cs="仿宋_GB2312" w:hint="eastAsia"/>
                <w:sz w:val="24"/>
                <w:szCs w:val="24"/>
                <w:lang w:eastAsia="zh-CN"/>
              </w:rPr>
              <w:t>mass</w:t>
            </w:r>
            <w:r w:rsidRPr="00DD0056">
              <w:rPr>
                <w:rFonts w:ascii="仿宋_GB2312" w:eastAsia="仿宋_GB2312" w:hAnsi="仿宋_GB2312" w:cs="仿宋_GB2312"/>
                <w:sz w:val="24"/>
                <w:szCs w:val="24"/>
                <w:lang w:eastAsia="zh-CN"/>
              </w:rPr>
              <w:t xml:space="preserve"> </w:t>
            </w:r>
            <w:r w:rsidRPr="00DD0056">
              <w:rPr>
                <w:rFonts w:ascii="仿宋_GB2312" w:eastAsia="仿宋_GB2312" w:hAnsi="仿宋_GB2312" w:cs="仿宋_GB2312" w:hint="eastAsia"/>
                <w:sz w:val="24"/>
                <w:szCs w:val="24"/>
                <w:lang w:eastAsia="zh-CN"/>
              </w:rPr>
              <w:t xml:space="preserve">chemistry </w:t>
            </w:r>
          </w:p>
        </w:tc>
        <w:tc>
          <w:tcPr>
            <w:tcW w:w="1281" w:type="dxa"/>
            <w:tcBorders>
              <w:top w:val="single" w:sz="4" w:space="0" w:color="auto"/>
              <w:left w:val="single" w:sz="4" w:space="0" w:color="auto"/>
              <w:bottom w:val="single" w:sz="4" w:space="0" w:color="auto"/>
              <w:right w:val="single" w:sz="4" w:space="0" w:color="auto"/>
            </w:tcBorders>
            <w:vAlign w:val="center"/>
          </w:tcPr>
          <w:p w14:paraId="7B39730B" w14:textId="77777777" w:rsidR="00AF43BD" w:rsidRPr="00DD0056" w:rsidRDefault="00000000">
            <w:pPr>
              <w:jc w:val="center"/>
              <w:rPr>
                <w:rFonts w:ascii="仿宋_GB2312" w:eastAsia="仿宋_GB2312" w:hAnsi="仿宋_GB2312" w:cs="仿宋_GB2312" w:hint="eastAsia"/>
                <w:sz w:val="24"/>
                <w:szCs w:val="24"/>
                <w:lang w:eastAsia="zh-CN"/>
              </w:rPr>
            </w:pPr>
            <w:r w:rsidRPr="00DD0056">
              <w:rPr>
                <w:rFonts w:ascii="仿宋_GB2312" w:eastAsia="仿宋_GB2312" w:hAnsi="仿宋_GB2312" w:cs="仿宋_GB2312" w:hint="eastAsia"/>
                <w:sz w:val="24"/>
                <w:szCs w:val="24"/>
                <w:lang w:eastAsia="zh-CN"/>
              </w:rPr>
              <w:t>选修</w:t>
            </w:r>
          </w:p>
        </w:tc>
        <w:tc>
          <w:tcPr>
            <w:tcW w:w="821" w:type="dxa"/>
            <w:tcBorders>
              <w:top w:val="single" w:sz="4" w:space="0" w:color="auto"/>
              <w:left w:val="single" w:sz="4" w:space="0" w:color="auto"/>
              <w:bottom w:val="single" w:sz="4" w:space="0" w:color="auto"/>
              <w:right w:val="single" w:sz="4" w:space="0" w:color="auto"/>
            </w:tcBorders>
            <w:vAlign w:val="center"/>
          </w:tcPr>
          <w:p w14:paraId="65FF6687" w14:textId="77777777" w:rsidR="00AF43BD" w:rsidRPr="00DD0056" w:rsidRDefault="00000000">
            <w:pPr>
              <w:jc w:val="center"/>
              <w:rPr>
                <w:rFonts w:ascii="仿宋_GB2312" w:eastAsia="仿宋_GB2312" w:hAnsi="仿宋_GB2312" w:cs="仿宋_GB2312" w:hint="eastAsia"/>
                <w:sz w:val="24"/>
                <w:szCs w:val="24"/>
                <w:lang w:eastAsia="zh-CN"/>
              </w:rPr>
            </w:pPr>
            <w:r w:rsidRPr="00DD0056">
              <w:rPr>
                <w:rFonts w:ascii="仿宋_GB2312" w:eastAsia="仿宋_GB2312" w:hAnsi="仿宋_GB2312" w:cs="仿宋_GB2312" w:hint="eastAsia"/>
                <w:sz w:val="24"/>
                <w:szCs w:val="24"/>
                <w:lang w:eastAsia="zh-CN"/>
              </w:rPr>
              <w:t>2</w:t>
            </w:r>
          </w:p>
        </w:tc>
        <w:tc>
          <w:tcPr>
            <w:tcW w:w="1418" w:type="dxa"/>
            <w:vMerge/>
            <w:tcBorders>
              <w:top w:val="single" w:sz="4" w:space="0" w:color="auto"/>
              <w:left w:val="nil"/>
              <w:bottom w:val="single" w:sz="4" w:space="0" w:color="auto"/>
              <w:right w:val="single" w:sz="4" w:space="0" w:color="auto"/>
            </w:tcBorders>
            <w:vAlign w:val="center"/>
          </w:tcPr>
          <w:p w14:paraId="120D3ADD"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42005DF5" w14:textId="77777777">
        <w:trPr>
          <w:trHeight w:val="570"/>
        </w:trPr>
        <w:tc>
          <w:tcPr>
            <w:tcW w:w="562" w:type="dxa"/>
            <w:vMerge/>
            <w:tcBorders>
              <w:top w:val="single" w:sz="4" w:space="0" w:color="auto"/>
              <w:left w:val="single" w:sz="4" w:space="0" w:color="auto"/>
              <w:bottom w:val="single" w:sz="4" w:space="0" w:color="auto"/>
              <w:right w:val="single" w:sz="4" w:space="0" w:color="auto"/>
            </w:tcBorders>
            <w:vAlign w:val="center"/>
          </w:tcPr>
          <w:p w14:paraId="7D882754"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1418" w:type="dxa"/>
            <w:vMerge/>
            <w:tcBorders>
              <w:left w:val="single" w:sz="4" w:space="0" w:color="auto"/>
              <w:right w:val="single" w:sz="4" w:space="0" w:color="auto"/>
            </w:tcBorders>
            <w:vAlign w:val="center"/>
          </w:tcPr>
          <w:p w14:paraId="6B59BAE6"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single" w:sz="4" w:space="0" w:color="auto"/>
              <w:left w:val="single" w:sz="4" w:space="0" w:color="auto"/>
              <w:bottom w:val="single" w:sz="4" w:space="0" w:color="auto"/>
              <w:right w:val="single" w:sz="4" w:space="0" w:color="auto"/>
            </w:tcBorders>
            <w:vAlign w:val="center"/>
          </w:tcPr>
          <w:p w14:paraId="6C63ED48" w14:textId="77777777" w:rsidR="00AF43BD" w:rsidRPr="00DD0056" w:rsidRDefault="00000000">
            <w:pPr>
              <w:jc w:val="center"/>
              <w:rPr>
                <w:rFonts w:ascii="仿宋_GB2312" w:eastAsia="仿宋_GB2312" w:hAnsi="仿宋_GB2312" w:cs="仿宋_GB2312" w:hint="eastAsia"/>
                <w:sz w:val="24"/>
                <w:szCs w:val="24"/>
                <w:lang w:eastAsia="zh-CN"/>
              </w:rPr>
            </w:pPr>
            <w:r w:rsidRPr="00DD0056">
              <w:rPr>
                <w:rFonts w:ascii="仿宋_GB2312" w:eastAsia="仿宋_GB2312" w:hAnsi="仿宋_GB2312" w:cs="仿宋_GB2312" w:hint="eastAsia"/>
                <w:sz w:val="24"/>
                <w:szCs w:val="24"/>
                <w:lang w:eastAsia="zh-CN"/>
              </w:rPr>
              <w:t>工程伦理案例分析</w:t>
            </w:r>
          </w:p>
        </w:tc>
        <w:tc>
          <w:tcPr>
            <w:tcW w:w="1281" w:type="dxa"/>
            <w:tcBorders>
              <w:top w:val="single" w:sz="4" w:space="0" w:color="auto"/>
              <w:left w:val="single" w:sz="4" w:space="0" w:color="auto"/>
              <w:bottom w:val="single" w:sz="4" w:space="0" w:color="auto"/>
              <w:right w:val="single" w:sz="4" w:space="0" w:color="auto"/>
            </w:tcBorders>
            <w:vAlign w:val="center"/>
          </w:tcPr>
          <w:p w14:paraId="5092DA5E" w14:textId="77777777" w:rsidR="00AF43BD" w:rsidRPr="00DD0056" w:rsidRDefault="00000000">
            <w:pPr>
              <w:jc w:val="center"/>
              <w:rPr>
                <w:rFonts w:ascii="仿宋_GB2312" w:eastAsia="仿宋_GB2312" w:hAnsi="仿宋_GB2312" w:cs="仿宋_GB2312" w:hint="eastAsia"/>
                <w:sz w:val="24"/>
                <w:szCs w:val="24"/>
                <w:lang w:eastAsia="zh-CN"/>
              </w:rPr>
            </w:pPr>
            <w:r w:rsidRPr="00DD0056">
              <w:rPr>
                <w:rFonts w:ascii="仿宋_GB2312" w:eastAsia="仿宋_GB2312" w:hAnsi="仿宋_GB2312" w:cs="仿宋_GB2312" w:hint="eastAsia"/>
                <w:sz w:val="24"/>
                <w:szCs w:val="24"/>
                <w:lang w:eastAsia="zh-CN"/>
              </w:rPr>
              <w:t>选修</w:t>
            </w:r>
          </w:p>
        </w:tc>
        <w:tc>
          <w:tcPr>
            <w:tcW w:w="821" w:type="dxa"/>
            <w:tcBorders>
              <w:top w:val="single" w:sz="4" w:space="0" w:color="auto"/>
              <w:left w:val="single" w:sz="4" w:space="0" w:color="auto"/>
              <w:bottom w:val="single" w:sz="4" w:space="0" w:color="auto"/>
              <w:right w:val="single" w:sz="4" w:space="0" w:color="auto"/>
            </w:tcBorders>
            <w:vAlign w:val="center"/>
          </w:tcPr>
          <w:p w14:paraId="2CD021B0" w14:textId="77777777" w:rsidR="00AF43BD" w:rsidRPr="00DD0056" w:rsidRDefault="00000000">
            <w:pPr>
              <w:jc w:val="center"/>
              <w:rPr>
                <w:rFonts w:ascii="仿宋_GB2312" w:eastAsia="仿宋_GB2312" w:hAnsi="仿宋_GB2312" w:cs="仿宋_GB2312" w:hint="eastAsia"/>
                <w:sz w:val="24"/>
                <w:szCs w:val="24"/>
                <w:lang w:eastAsia="zh-CN"/>
              </w:rPr>
            </w:pPr>
            <w:r w:rsidRPr="00DD0056">
              <w:rPr>
                <w:rFonts w:ascii="仿宋_GB2312" w:eastAsia="仿宋_GB2312" w:hAnsi="仿宋_GB2312" w:cs="仿宋_GB2312" w:hint="eastAsia"/>
                <w:sz w:val="24"/>
                <w:szCs w:val="24"/>
                <w:lang w:eastAsia="zh-CN"/>
              </w:rPr>
              <w:t>1</w:t>
            </w:r>
          </w:p>
        </w:tc>
        <w:tc>
          <w:tcPr>
            <w:tcW w:w="1418" w:type="dxa"/>
            <w:vMerge/>
            <w:tcBorders>
              <w:top w:val="single" w:sz="4" w:space="0" w:color="auto"/>
              <w:left w:val="nil"/>
              <w:bottom w:val="single" w:sz="4" w:space="0" w:color="auto"/>
              <w:right w:val="single" w:sz="4" w:space="0" w:color="auto"/>
            </w:tcBorders>
            <w:vAlign w:val="center"/>
          </w:tcPr>
          <w:p w14:paraId="47A93919"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5D1CF34F" w14:textId="77777777">
        <w:trPr>
          <w:trHeight w:val="570"/>
        </w:trPr>
        <w:tc>
          <w:tcPr>
            <w:tcW w:w="562" w:type="dxa"/>
            <w:vMerge/>
            <w:tcBorders>
              <w:top w:val="single" w:sz="4" w:space="0" w:color="auto"/>
              <w:left w:val="single" w:sz="4" w:space="0" w:color="auto"/>
              <w:bottom w:val="single" w:sz="4" w:space="0" w:color="auto"/>
              <w:right w:val="single" w:sz="4" w:space="0" w:color="auto"/>
            </w:tcBorders>
            <w:vAlign w:val="center"/>
          </w:tcPr>
          <w:p w14:paraId="23214CBC"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1418" w:type="dxa"/>
            <w:vMerge/>
            <w:tcBorders>
              <w:left w:val="single" w:sz="4" w:space="0" w:color="auto"/>
              <w:right w:val="single" w:sz="4" w:space="0" w:color="auto"/>
            </w:tcBorders>
            <w:vAlign w:val="center"/>
          </w:tcPr>
          <w:p w14:paraId="4F897BC6"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single" w:sz="4" w:space="0" w:color="auto"/>
              <w:left w:val="single" w:sz="4" w:space="0" w:color="auto"/>
              <w:bottom w:val="single" w:sz="4" w:space="0" w:color="auto"/>
              <w:right w:val="single" w:sz="4" w:space="0" w:color="auto"/>
            </w:tcBorders>
            <w:vAlign w:val="center"/>
          </w:tcPr>
          <w:p w14:paraId="685E2C99"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生物质基功能材料进展</w:t>
            </w:r>
          </w:p>
        </w:tc>
        <w:tc>
          <w:tcPr>
            <w:tcW w:w="1281" w:type="dxa"/>
            <w:tcBorders>
              <w:top w:val="single" w:sz="4" w:space="0" w:color="auto"/>
              <w:left w:val="single" w:sz="4" w:space="0" w:color="auto"/>
              <w:bottom w:val="single" w:sz="4" w:space="0" w:color="auto"/>
              <w:right w:val="single" w:sz="4" w:space="0" w:color="auto"/>
            </w:tcBorders>
            <w:vAlign w:val="center"/>
          </w:tcPr>
          <w:p w14:paraId="7FE1E955"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选修</w:t>
            </w:r>
          </w:p>
        </w:tc>
        <w:tc>
          <w:tcPr>
            <w:tcW w:w="821" w:type="dxa"/>
            <w:tcBorders>
              <w:top w:val="single" w:sz="4" w:space="0" w:color="auto"/>
              <w:left w:val="single" w:sz="4" w:space="0" w:color="auto"/>
              <w:bottom w:val="single" w:sz="4" w:space="0" w:color="auto"/>
              <w:right w:val="single" w:sz="4" w:space="0" w:color="auto"/>
            </w:tcBorders>
            <w:vAlign w:val="center"/>
          </w:tcPr>
          <w:p w14:paraId="18C15678"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2</w:t>
            </w:r>
          </w:p>
        </w:tc>
        <w:tc>
          <w:tcPr>
            <w:tcW w:w="1418" w:type="dxa"/>
            <w:vMerge/>
            <w:tcBorders>
              <w:top w:val="single" w:sz="4" w:space="0" w:color="auto"/>
              <w:left w:val="nil"/>
              <w:bottom w:val="single" w:sz="4" w:space="0" w:color="auto"/>
              <w:right w:val="single" w:sz="4" w:space="0" w:color="auto"/>
            </w:tcBorders>
            <w:vAlign w:val="center"/>
          </w:tcPr>
          <w:p w14:paraId="4C1F0559"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30E6B706" w14:textId="77777777">
        <w:trPr>
          <w:trHeight w:val="570"/>
        </w:trPr>
        <w:tc>
          <w:tcPr>
            <w:tcW w:w="562" w:type="dxa"/>
            <w:vMerge/>
            <w:tcBorders>
              <w:top w:val="single" w:sz="4" w:space="0" w:color="auto"/>
              <w:left w:val="single" w:sz="4" w:space="0" w:color="auto"/>
              <w:bottom w:val="single" w:sz="4" w:space="0" w:color="auto"/>
              <w:right w:val="single" w:sz="4" w:space="0" w:color="auto"/>
            </w:tcBorders>
            <w:vAlign w:val="center"/>
          </w:tcPr>
          <w:p w14:paraId="3AAEFE95"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1418" w:type="dxa"/>
            <w:vMerge/>
            <w:tcBorders>
              <w:left w:val="single" w:sz="4" w:space="0" w:color="auto"/>
              <w:right w:val="single" w:sz="4" w:space="0" w:color="auto"/>
            </w:tcBorders>
            <w:vAlign w:val="center"/>
          </w:tcPr>
          <w:p w14:paraId="66696EA5"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single" w:sz="4" w:space="0" w:color="auto"/>
              <w:left w:val="single" w:sz="4" w:space="0" w:color="auto"/>
              <w:bottom w:val="single" w:sz="4" w:space="0" w:color="auto"/>
              <w:right w:val="single" w:sz="4" w:space="0" w:color="auto"/>
            </w:tcBorders>
            <w:vAlign w:val="center"/>
          </w:tcPr>
          <w:p w14:paraId="75C6ABF2"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工业废水处理及再生利用</w:t>
            </w:r>
          </w:p>
        </w:tc>
        <w:tc>
          <w:tcPr>
            <w:tcW w:w="1281" w:type="dxa"/>
            <w:tcBorders>
              <w:top w:val="single" w:sz="4" w:space="0" w:color="auto"/>
              <w:left w:val="single" w:sz="4" w:space="0" w:color="auto"/>
              <w:bottom w:val="single" w:sz="4" w:space="0" w:color="auto"/>
              <w:right w:val="single" w:sz="4" w:space="0" w:color="auto"/>
            </w:tcBorders>
            <w:vAlign w:val="center"/>
          </w:tcPr>
          <w:p w14:paraId="61BF545B"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选修</w:t>
            </w:r>
          </w:p>
        </w:tc>
        <w:tc>
          <w:tcPr>
            <w:tcW w:w="821" w:type="dxa"/>
            <w:tcBorders>
              <w:top w:val="single" w:sz="4" w:space="0" w:color="auto"/>
              <w:left w:val="single" w:sz="4" w:space="0" w:color="auto"/>
              <w:bottom w:val="single" w:sz="4" w:space="0" w:color="auto"/>
              <w:right w:val="single" w:sz="4" w:space="0" w:color="auto"/>
            </w:tcBorders>
            <w:vAlign w:val="center"/>
          </w:tcPr>
          <w:p w14:paraId="04140134"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2</w:t>
            </w:r>
          </w:p>
        </w:tc>
        <w:tc>
          <w:tcPr>
            <w:tcW w:w="1418" w:type="dxa"/>
            <w:vMerge/>
            <w:tcBorders>
              <w:top w:val="single" w:sz="4" w:space="0" w:color="auto"/>
              <w:left w:val="nil"/>
              <w:bottom w:val="single" w:sz="4" w:space="0" w:color="auto"/>
              <w:right w:val="single" w:sz="4" w:space="0" w:color="auto"/>
            </w:tcBorders>
            <w:vAlign w:val="center"/>
          </w:tcPr>
          <w:p w14:paraId="0E7EC8B6"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7685D0A4" w14:textId="77777777">
        <w:trPr>
          <w:trHeight w:val="570"/>
        </w:trPr>
        <w:tc>
          <w:tcPr>
            <w:tcW w:w="562" w:type="dxa"/>
            <w:vMerge/>
            <w:tcBorders>
              <w:top w:val="single" w:sz="4" w:space="0" w:color="auto"/>
              <w:left w:val="single" w:sz="4" w:space="0" w:color="auto"/>
              <w:bottom w:val="single" w:sz="4" w:space="0" w:color="auto"/>
              <w:right w:val="single" w:sz="4" w:space="0" w:color="auto"/>
            </w:tcBorders>
            <w:vAlign w:val="center"/>
          </w:tcPr>
          <w:p w14:paraId="1E0830E8"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1418" w:type="dxa"/>
            <w:vMerge/>
            <w:tcBorders>
              <w:left w:val="single" w:sz="4" w:space="0" w:color="auto"/>
              <w:right w:val="single" w:sz="4" w:space="0" w:color="auto"/>
            </w:tcBorders>
            <w:vAlign w:val="center"/>
          </w:tcPr>
          <w:p w14:paraId="3B48F1F3"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single" w:sz="4" w:space="0" w:color="auto"/>
              <w:left w:val="single" w:sz="4" w:space="0" w:color="auto"/>
              <w:bottom w:val="single" w:sz="4" w:space="0" w:color="auto"/>
              <w:right w:val="single" w:sz="4" w:space="0" w:color="auto"/>
            </w:tcBorders>
            <w:vAlign w:val="center"/>
          </w:tcPr>
          <w:p w14:paraId="7876BD8F"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现代仪器分析与检测</w:t>
            </w:r>
          </w:p>
        </w:tc>
        <w:tc>
          <w:tcPr>
            <w:tcW w:w="1281" w:type="dxa"/>
            <w:tcBorders>
              <w:top w:val="single" w:sz="4" w:space="0" w:color="auto"/>
              <w:left w:val="single" w:sz="4" w:space="0" w:color="auto"/>
              <w:bottom w:val="single" w:sz="4" w:space="0" w:color="auto"/>
              <w:right w:val="single" w:sz="4" w:space="0" w:color="auto"/>
            </w:tcBorders>
            <w:vAlign w:val="center"/>
          </w:tcPr>
          <w:p w14:paraId="7E52FF52"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选修</w:t>
            </w:r>
          </w:p>
        </w:tc>
        <w:tc>
          <w:tcPr>
            <w:tcW w:w="821" w:type="dxa"/>
            <w:tcBorders>
              <w:top w:val="single" w:sz="4" w:space="0" w:color="auto"/>
              <w:left w:val="single" w:sz="4" w:space="0" w:color="auto"/>
              <w:bottom w:val="single" w:sz="4" w:space="0" w:color="auto"/>
              <w:right w:val="single" w:sz="4" w:space="0" w:color="auto"/>
            </w:tcBorders>
            <w:vAlign w:val="center"/>
          </w:tcPr>
          <w:p w14:paraId="5119EE0A"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2</w:t>
            </w:r>
          </w:p>
        </w:tc>
        <w:tc>
          <w:tcPr>
            <w:tcW w:w="1418" w:type="dxa"/>
            <w:vMerge/>
            <w:tcBorders>
              <w:top w:val="single" w:sz="4" w:space="0" w:color="auto"/>
              <w:left w:val="nil"/>
              <w:bottom w:val="single" w:sz="4" w:space="0" w:color="auto"/>
              <w:right w:val="single" w:sz="4" w:space="0" w:color="auto"/>
            </w:tcBorders>
            <w:vAlign w:val="center"/>
          </w:tcPr>
          <w:p w14:paraId="6ACDDC35"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7EB0340E" w14:textId="77777777">
        <w:trPr>
          <w:trHeight w:val="570"/>
        </w:trPr>
        <w:tc>
          <w:tcPr>
            <w:tcW w:w="562" w:type="dxa"/>
            <w:vMerge/>
            <w:tcBorders>
              <w:top w:val="single" w:sz="4" w:space="0" w:color="auto"/>
              <w:left w:val="single" w:sz="4" w:space="0" w:color="auto"/>
              <w:bottom w:val="single" w:sz="4" w:space="0" w:color="auto"/>
              <w:right w:val="single" w:sz="4" w:space="0" w:color="auto"/>
            </w:tcBorders>
            <w:vAlign w:val="center"/>
          </w:tcPr>
          <w:p w14:paraId="06A2194B"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1418" w:type="dxa"/>
            <w:vMerge/>
            <w:tcBorders>
              <w:left w:val="single" w:sz="4" w:space="0" w:color="auto"/>
              <w:right w:val="single" w:sz="4" w:space="0" w:color="auto"/>
            </w:tcBorders>
            <w:vAlign w:val="center"/>
          </w:tcPr>
          <w:p w14:paraId="13B11383"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single" w:sz="4" w:space="0" w:color="auto"/>
              <w:left w:val="single" w:sz="4" w:space="0" w:color="auto"/>
              <w:bottom w:val="single" w:sz="4" w:space="0" w:color="auto"/>
              <w:right w:val="single" w:sz="4" w:space="0" w:color="auto"/>
            </w:tcBorders>
            <w:vAlign w:val="center"/>
          </w:tcPr>
          <w:p w14:paraId="0B464416"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轻工AI原理与应用</w:t>
            </w:r>
          </w:p>
        </w:tc>
        <w:tc>
          <w:tcPr>
            <w:tcW w:w="1281" w:type="dxa"/>
            <w:tcBorders>
              <w:top w:val="single" w:sz="4" w:space="0" w:color="auto"/>
              <w:left w:val="single" w:sz="4" w:space="0" w:color="auto"/>
              <w:bottom w:val="single" w:sz="4" w:space="0" w:color="auto"/>
              <w:right w:val="single" w:sz="4" w:space="0" w:color="auto"/>
            </w:tcBorders>
            <w:vAlign w:val="center"/>
          </w:tcPr>
          <w:p w14:paraId="21AEBC03"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选修</w:t>
            </w:r>
          </w:p>
        </w:tc>
        <w:tc>
          <w:tcPr>
            <w:tcW w:w="821" w:type="dxa"/>
            <w:tcBorders>
              <w:top w:val="single" w:sz="4" w:space="0" w:color="auto"/>
              <w:left w:val="single" w:sz="4" w:space="0" w:color="auto"/>
              <w:bottom w:val="single" w:sz="4" w:space="0" w:color="auto"/>
              <w:right w:val="single" w:sz="4" w:space="0" w:color="auto"/>
            </w:tcBorders>
            <w:vAlign w:val="center"/>
          </w:tcPr>
          <w:p w14:paraId="476F8586"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2</w:t>
            </w:r>
          </w:p>
        </w:tc>
        <w:tc>
          <w:tcPr>
            <w:tcW w:w="1418" w:type="dxa"/>
            <w:vMerge/>
            <w:tcBorders>
              <w:top w:val="single" w:sz="4" w:space="0" w:color="auto"/>
              <w:left w:val="nil"/>
              <w:bottom w:val="single" w:sz="4" w:space="0" w:color="auto"/>
              <w:right w:val="single" w:sz="4" w:space="0" w:color="auto"/>
            </w:tcBorders>
            <w:vAlign w:val="center"/>
          </w:tcPr>
          <w:p w14:paraId="1C6235A1"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1629B4AA" w14:textId="77777777">
        <w:trPr>
          <w:trHeight w:val="570"/>
        </w:trPr>
        <w:tc>
          <w:tcPr>
            <w:tcW w:w="562" w:type="dxa"/>
            <w:vMerge/>
            <w:tcBorders>
              <w:top w:val="single" w:sz="4" w:space="0" w:color="auto"/>
              <w:left w:val="single" w:sz="4" w:space="0" w:color="auto"/>
              <w:bottom w:val="single" w:sz="4" w:space="0" w:color="auto"/>
              <w:right w:val="single" w:sz="4" w:space="0" w:color="auto"/>
            </w:tcBorders>
            <w:vAlign w:val="center"/>
          </w:tcPr>
          <w:p w14:paraId="48CA03BB"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1418" w:type="dxa"/>
            <w:vMerge/>
            <w:tcBorders>
              <w:left w:val="single" w:sz="4" w:space="0" w:color="auto"/>
              <w:right w:val="single" w:sz="4" w:space="0" w:color="auto"/>
            </w:tcBorders>
            <w:vAlign w:val="center"/>
          </w:tcPr>
          <w:p w14:paraId="08FE0683"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single" w:sz="4" w:space="0" w:color="auto"/>
              <w:left w:val="single" w:sz="4" w:space="0" w:color="auto"/>
              <w:bottom w:val="single" w:sz="4" w:space="0" w:color="auto"/>
              <w:right w:val="single" w:sz="4" w:space="0" w:color="auto"/>
            </w:tcBorders>
            <w:vAlign w:val="center"/>
          </w:tcPr>
          <w:p w14:paraId="144C8072"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印刷包装数字化与智能制造</w:t>
            </w:r>
          </w:p>
        </w:tc>
        <w:tc>
          <w:tcPr>
            <w:tcW w:w="1281" w:type="dxa"/>
            <w:tcBorders>
              <w:top w:val="single" w:sz="4" w:space="0" w:color="auto"/>
              <w:left w:val="single" w:sz="4" w:space="0" w:color="auto"/>
              <w:bottom w:val="single" w:sz="4" w:space="0" w:color="auto"/>
              <w:right w:val="single" w:sz="4" w:space="0" w:color="auto"/>
            </w:tcBorders>
            <w:vAlign w:val="center"/>
          </w:tcPr>
          <w:p w14:paraId="55E8595F"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选修</w:t>
            </w:r>
          </w:p>
        </w:tc>
        <w:tc>
          <w:tcPr>
            <w:tcW w:w="821" w:type="dxa"/>
            <w:tcBorders>
              <w:top w:val="single" w:sz="4" w:space="0" w:color="auto"/>
              <w:left w:val="single" w:sz="4" w:space="0" w:color="auto"/>
              <w:bottom w:val="single" w:sz="4" w:space="0" w:color="auto"/>
              <w:right w:val="single" w:sz="4" w:space="0" w:color="auto"/>
            </w:tcBorders>
            <w:vAlign w:val="center"/>
          </w:tcPr>
          <w:p w14:paraId="4DB9880C"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2</w:t>
            </w:r>
          </w:p>
        </w:tc>
        <w:tc>
          <w:tcPr>
            <w:tcW w:w="1418" w:type="dxa"/>
            <w:vMerge/>
            <w:tcBorders>
              <w:top w:val="single" w:sz="4" w:space="0" w:color="auto"/>
              <w:left w:val="nil"/>
              <w:bottom w:val="single" w:sz="4" w:space="0" w:color="auto"/>
              <w:right w:val="single" w:sz="4" w:space="0" w:color="auto"/>
            </w:tcBorders>
            <w:vAlign w:val="center"/>
          </w:tcPr>
          <w:p w14:paraId="61A51BD5"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099A19B5" w14:textId="77777777">
        <w:trPr>
          <w:trHeight w:val="570"/>
        </w:trPr>
        <w:tc>
          <w:tcPr>
            <w:tcW w:w="562" w:type="dxa"/>
            <w:vMerge/>
            <w:tcBorders>
              <w:top w:val="single" w:sz="4" w:space="0" w:color="auto"/>
              <w:left w:val="single" w:sz="4" w:space="0" w:color="auto"/>
              <w:bottom w:val="single" w:sz="4" w:space="0" w:color="auto"/>
              <w:right w:val="single" w:sz="4" w:space="0" w:color="auto"/>
            </w:tcBorders>
            <w:vAlign w:val="center"/>
          </w:tcPr>
          <w:p w14:paraId="5904A204"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1418" w:type="dxa"/>
            <w:vMerge/>
            <w:tcBorders>
              <w:left w:val="single" w:sz="4" w:space="0" w:color="auto"/>
              <w:right w:val="single" w:sz="4" w:space="0" w:color="auto"/>
            </w:tcBorders>
            <w:vAlign w:val="center"/>
          </w:tcPr>
          <w:p w14:paraId="21C85F80"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single" w:sz="4" w:space="0" w:color="auto"/>
              <w:left w:val="single" w:sz="4" w:space="0" w:color="auto"/>
              <w:bottom w:val="single" w:sz="4" w:space="0" w:color="auto"/>
              <w:right w:val="single" w:sz="4" w:space="0" w:color="auto"/>
            </w:tcBorders>
            <w:vAlign w:val="center"/>
          </w:tcPr>
          <w:p w14:paraId="1F04887E"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印刷包装清洁生产技术</w:t>
            </w:r>
          </w:p>
        </w:tc>
        <w:tc>
          <w:tcPr>
            <w:tcW w:w="1281" w:type="dxa"/>
            <w:tcBorders>
              <w:top w:val="single" w:sz="4" w:space="0" w:color="auto"/>
              <w:left w:val="single" w:sz="4" w:space="0" w:color="auto"/>
              <w:bottom w:val="single" w:sz="4" w:space="0" w:color="auto"/>
              <w:right w:val="single" w:sz="4" w:space="0" w:color="auto"/>
            </w:tcBorders>
            <w:vAlign w:val="center"/>
          </w:tcPr>
          <w:p w14:paraId="0BF51F32"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选修</w:t>
            </w:r>
          </w:p>
        </w:tc>
        <w:tc>
          <w:tcPr>
            <w:tcW w:w="821" w:type="dxa"/>
            <w:tcBorders>
              <w:top w:val="single" w:sz="4" w:space="0" w:color="auto"/>
              <w:left w:val="single" w:sz="4" w:space="0" w:color="auto"/>
              <w:bottom w:val="single" w:sz="4" w:space="0" w:color="auto"/>
              <w:right w:val="single" w:sz="4" w:space="0" w:color="auto"/>
            </w:tcBorders>
            <w:vAlign w:val="center"/>
          </w:tcPr>
          <w:p w14:paraId="55BA7756"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2</w:t>
            </w:r>
          </w:p>
        </w:tc>
        <w:tc>
          <w:tcPr>
            <w:tcW w:w="1418" w:type="dxa"/>
            <w:vMerge/>
            <w:tcBorders>
              <w:top w:val="single" w:sz="4" w:space="0" w:color="auto"/>
              <w:left w:val="nil"/>
              <w:bottom w:val="single" w:sz="4" w:space="0" w:color="auto"/>
              <w:right w:val="single" w:sz="4" w:space="0" w:color="auto"/>
            </w:tcBorders>
            <w:vAlign w:val="center"/>
          </w:tcPr>
          <w:p w14:paraId="6D810497"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47742A06" w14:textId="77777777">
        <w:trPr>
          <w:trHeight w:val="570"/>
        </w:trPr>
        <w:tc>
          <w:tcPr>
            <w:tcW w:w="562" w:type="dxa"/>
            <w:vMerge/>
            <w:tcBorders>
              <w:top w:val="single" w:sz="4" w:space="0" w:color="auto"/>
              <w:left w:val="single" w:sz="4" w:space="0" w:color="auto"/>
              <w:bottom w:val="single" w:sz="4" w:space="0" w:color="auto"/>
              <w:right w:val="single" w:sz="4" w:space="0" w:color="auto"/>
            </w:tcBorders>
            <w:vAlign w:val="center"/>
          </w:tcPr>
          <w:p w14:paraId="77D8EA2D"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1418" w:type="dxa"/>
            <w:vMerge/>
            <w:tcBorders>
              <w:left w:val="single" w:sz="4" w:space="0" w:color="auto"/>
              <w:right w:val="single" w:sz="4" w:space="0" w:color="auto"/>
            </w:tcBorders>
            <w:vAlign w:val="center"/>
          </w:tcPr>
          <w:p w14:paraId="579CADBE"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single" w:sz="4" w:space="0" w:color="auto"/>
              <w:left w:val="single" w:sz="4" w:space="0" w:color="auto"/>
              <w:bottom w:val="single" w:sz="4" w:space="0" w:color="auto"/>
              <w:right w:val="single" w:sz="4" w:space="0" w:color="auto"/>
            </w:tcBorders>
            <w:vAlign w:val="center"/>
          </w:tcPr>
          <w:p w14:paraId="30C2335B"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颜色技术与原理</w:t>
            </w:r>
          </w:p>
        </w:tc>
        <w:tc>
          <w:tcPr>
            <w:tcW w:w="1281" w:type="dxa"/>
            <w:tcBorders>
              <w:top w:val="single" w:sz="4" w:space="0" w:color="auto"/>
              <w:left w:val="single" w:sz="4" w:space="0" w:color="auto"/>
              <w:bottom w:val="single" w:sz="4" w:space="0" w:color="auto"/>
              <w:right w:val="single" w:sz="4" w:space="0" w:color="auto"/>
            </w:tcBorders>
            <w:vAlign w:val="center"/>
          </w:tcPr>
          <w:p w14:paraId="25390207"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选修</w:t>
            </w:r>
          </w:p>
        </w:tc>
        <w:tc>
          <w:tcPr>
            <w:tcW w:w="821" w:type="dxa"/>
            <w:tcBorders>
              <w:top w:val="single" w:sz="4" w:space="0" w:color="auto"/>
              <w:left w:val="single" w:sz="4" w:space="0" w:color="auto"/>
              <w:bottom w:val="single" w:sz="4" w:space="0" w:color="auto"/>
              <w:right w:val="single" w:sz="4" w:space="0" w:color="auto"/>
            </w:tcBorders>
            <w:vAlign w:val="center"/>
          </w:tcPr>
          <w:p w14:paraId="170F8376"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2</w:t>
            </w:r>
          </w:p>
        </w:tc>
        <w:tc>
          <w:tcPr>
            <w:tcW w:w="1418" w:type="dxa"/>
            <w:vMerge/>
            <w:tcBorders>
              <w:top w:val="single" w:sz="4" w:space="0" w:color="auto"/>
              <w:left w:val="nil"/>
              <w:bottom w:val="single" w:sz="4" w:space="0" w:color="auto"/>
              <w:right w:val="single" w:sz="4" w:space="0" w:color="auto"/>
            </w:tcBorders>
            <w:vAlign w:val="center"/>
          </w:tcPr>
          <w:p w14:paraId="49331331"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148ECEC9" w14:textId="77777777">
        <w:trPr>
          <w:trHeight w:val="570"/>
        </w:trPr>
        <w:tc>
          <w:tcPr>
            <w:tcW w:w="562" w:type="dxa"/>
            <w:vMerge/>
            <w:tcBorders>
              <w:top w:val="single" w:sz="4" w:space="0" w:color="auto"/>
              <w:left w:val="single" w:sz="4" w:space="0" w:color="auto"/>
              <w:bottom w:val="single" w:sz="4" w:space="0" w:color="auto"/>
              <w:right w:val="single" w:sz="4" w:space="0" w:color="auto"/>
            </w:tcBorders>
            <w:vAlign w:val="center"/>
          </w:tcPr>
          <w:p w14:paraId="4E7CFF3F"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1418" w:type="dxa"/>
            <w:vMerge/>
            <w:tcBorders>
              <w:left w:val="single" w:sz="4" w:space="0" w:color="auto"/>
              <w:right w:val="single" w:sz="4" w:space="0" w:color="auto"/>
            </w:tcBorders>
            <w:vAlign w:val="center"/>
          </w:tcPr>
          <w:p w14:paraId="2C58F046"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single" w:sz="4" w:space="0" w:color="auto"/>
              <w:left w:val="single" w:sz="4" w:space="0" w:color="auto"/>
              <w:bottom w:val="single" w:sz="4" w:space="0" w:color="auto"/>
              <w:right w:val="single" w:sz="4" w:space="0" w:color="auto"/>
            </w:tcBorders>
            <w:vAlign w:val="center"/>
          </w:tcPr>
          <w:p w14:paraId="6B0685D8"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智能媒体技术</w:t>
            </w:r>
          </w:p>
        </w:tc>
        <w:tc>
          <w:tcPr>
            <w:tcW w:w="1281" w:type="dxa"/>
            <w:tcBorders>
              <w:top w:val="single" w:sz="4" w:space="0" w:color="auto"/>
              <w:left w:val="single" w:sz="4" w:space="0" w:color="auto"/>
              <w:bottom w:val="single" w:sz="4" w:space="0" w:color="auto"/>
              <w:right w:val="single" w:sz="4" w:space="0" w:color="auto"/>
            </w:tcBorders>
            <w:vAlign w:val="center"/>
          </w:tcPr>
          <w:p w14:paraId="74499631"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选修</w:t>
            </w:r>
          </w:p>
        </w:tc>
        <w:tc>
          <w:tcPr>
            <w:tcW w:w="821" w:type="dxa"/>
            <w:tcBorders>
              <w:top w:val="single" w:sz="4" w:space="0" w:color="auto"/>
              <w:left w:val="single" w:sz="4" w:space="0" w:color="auto"/>
              <w:bottom w:val="single" w:sz="4" w:space="0" w:color="auto"/>
              <w:right w:val="single" w:sz="4" w:space="0" w:color="auto"/>
            </w:tcBorders>
            <w:vAlign w:val="center"/>
          </w:tcPr>
          <w:p w14:paraId="4613D734"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2</w:t>
            </w:r>
          </w:p>
        </w:tc>
        <w:tc>
          <w:tcPr>
            <w:tcW w:w="1418" w:type="dxa"/>
            <w:vMerge/>
            <w:tcBorders>
              <w:top w:val="single" w:sz="4" w:space="0" w:color="auto"/>
              <w:left w:val="nil"/>
              <w:bottom w:val="single" w:sz="4" w:space="0" w:color="auto"/>
              <w:right w:val="single" w:sz="4" w:space="0" w:color="auto"/>
            </w:tcBorders>
            <w:vAlign w:val="center"/>
          </w:tcPr>
          <w:p w14:paraId="0233B40C"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416554D9" w14:textId="77777777">
        <w:trPr>
          <w:trHeight w:val="570"/>
        </w:trPr>
        <w:tc>
          <w:tcPr>
            <w:tcW w:w="562" w:type="dxa"/>
            <w:vMerge/>
            <w:tcBorders>
              <w:top w:val="single" w:sz="4" w:space="0" w:color="auto"/>
              <w:left w:val="single" w:sz="4" w:space="0" w:color="auto"/>
              <w:bottom w:val="single" w:sz="4" w:space="0" w:color="auto"/>
              <w:right w:val="single" w:sz="4" w:space="0" w:color="auto"/>
            </w:tcBorders>
            <w:vAlign w:val="center"/>
          </w:tcPr>
          <w:p w14:paraId="459F9EC2"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1418" w:type="dxa"/>
            <w:vMerge/>
            <w:tcBorders>
              <w:left w:val="single" w:sz="4" w:space="0" w:color="auto"/>
              <w:right w:val="single" w:sz="4" w:space="0" w:color="auto"/>
            </w:tcBorders>
            <w:vAlign w:val="center"/>
          </w:tcPr>
          <w:p w14:paraId="179A49A0"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single" w:sz="4" w:space="0" w:color="auto"/>
              <w:left w:val="single" w:sz="4" w:space="0" w:color="auto"/>
              <w:bottom w:val="single" w:sz="4" w:space="0" w:color="auto"/>
              <w:right w:val="single" w:sz="4" w:space="0" w:color="auto"/>
            </w:tcBorders>
            <w:vAlign w:val="center"/>
          </w:tcPr>
          <w:p w14:paraId="15074E1A"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制革前沿科学与技术</w:t>
            </w:r>
          </w:p>
        </w:tc>
        <w:tc>
          <w:tcPr>
            <w:tcW w:w="1281" w:type="dxa"/>
            <w:tcBorders>
              <w:top w:val="single" w:sz="4" w:space="0" w:color="auto"/>
              <w:left w:val="single" w:sz="4" w:space="0" w:color="auto"/>
              <w:bottom w:val="single" w:sz="4" w:space="0" w:color="auto"/>
              <w:right w:val="single" w:sz="4" w:space="0" w:color="auto"/>
            </w:tcBorders>
            <w:vAlign w:val="center"/>
          </w:tcPr>
          <w:p w14:paraId="544C0027"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选修</w:t>
            </w:r>
          </w:p>
        </w:tc>
        <w:tc>
          <w:tcPr>
            <w:tcW w:w="821" w:type="dxa"/>
            <w:tcBorders>
              <w:top w:val="single" w:sz="4" w:space="0" w:color="auto"/>
              <w:left w:val="single" w:sz="4" w:space="0" w:color="auto"/>
              <w:bottom w:val="single" w:sz="4" w:space="0" w:color="auto"/>
              <w:right w:val="single" w:sz="4" w:space="0" w:color="auto"/>
            </w:tcBorders>
            <w:vAlign w:val="center"/>
          </w:tcPr>
          <w:p w14:paraId="02AEC7AA"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2</w:t>
            </w:r>
          </w:p>
        </w:tc>
        <w:tc>
          <w:tcPr>
            <w:tcW w:w="1418" w:type="dxa"/>
            <w:vMerge/>
            <w:tcBorders>
              <w:top w:val="single" w:sz="4" w:space="0" w:color="auto"/>
              <w:left w:val="nil"/>
              <w:bottom w:val="single" w:sz="4" w:space="0" w:color="auto"/>
              <w:right w:val="single" w:sz="4" w:space="0" w:color="auto"/>
            </w:tcBorders>
            <w:vAlign w:val="center"/>
          </w:tcPr>
          <w:p w14:paraId="062E8307"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1B2DC35C" w14:textId="77777777">
        <w:trPr>
          <w:trHeight w:val="570"/>
        </w:trPr>
        <w:tc>
          <w:tcPr>
            <w:tcW w:w="562" w:type="dxa"/>
            <w:vMerge/>
            <w:tcBorders>
              <w:top w:val="single" w:sz="4" w:space="0" w:color="auto"/>
              <w:left w:val="single" w:sz="4" w:space="0" w:color="auto"/>
              <w:bottom w:val="single" w:sz="4" w:space="0" w:color="auto"/>
              <w:right w:val="single" w:sz="4" w:space="0" w:color="auto"/>
            </w:tcBorders>
            <w:vAlign w:val="center"/>
          </w:tcPr>
          <w:p w14:paraId="6774E73B"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1418" w:type="dxa"/>
            <w:vMerge/>
            <w:tcBorders>
              <w:left w:val="single" w:sz="4" w:space="0" w:color="auto"/>
              <w:right w:val="single" w:sz="4" w:space="0" w:color="auto"/>
            </w:tcBorders>
            <w:vAlign w:val="center"/>
          </w:tcPr>
          <w:p w14:paraId="0AD7AE42"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single" w:sz="4" w:space="0" w:color="auto"/>
              <w:left w:val="single" w:sz="4" w:space="0" w:color="auto"/>
              <w:bottom w:val="single" w:sz="4" w:space="0" w:color="auto"/>
              <w:right w:val="single" w:sz="4" w:space="0" w:color="auto"/>
            </w:tcBorders>
            <w:vAlign w:val="center"/>
          </w:tcPr>
          <w:p w14:paraId="0F44DC11"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轻工精细化工产品开发</w:t>
            </w:r>
          </w:p>
        </w:tc>
        <w:tc>
          <w:tcPr>
            <w:tcW w:w="1281" w:type="dxa"/>
            <w:tcBorders>
              <w:top w:val="single" w:sz="4" w:space="0" w:color="auto"/>
              <w:left w:val="single" w:sz="4" w:space="0" w:color="auto"/>
              <w:bottom w:val="single" w:sz="4" w:space="0" w:color="auto"/>
              <w:right w:val="single" w:sz="4" w:space="0" w:color="auto"/>
            </w:tcBorders>
            <w:vAlign w:val="center"/>
          </w:tcPr>
          <w:p w14:paraId="5FBB3398"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选修</w:t>
            </w:r>
          </w:p>
        </w:tc>
        <w:tc>
          <w:tcPr>
            <w:tcW w:w="821" w:type="dxa"/>
            <w:tcBorders>
              <w:top w:val="single" w:sz="4" w:space="0" w:color="auto"/>
              <w:left w:val="single" w:sz="4" w:space="0" w:color="auto"/>
              <w:bottom w:val="single" w:sz="4" w:space="0" w:color="auto"/>
              <w:right w:val="single" w:sz="4" w:space="0" w:color="auto"/>
            </w:tcBorders>
            <w:vAlign w:val="center"/>
          </w:tcPr>
          <w:p w14:paraId="2BB729A2"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2</w:t>
            </w:r>
          </w:p>
        </w:tc>
        <w:tc>
          <w:tcPr>
            <w:tcW w:w="1418" w:type="dxa"/>
            <w:vMerge/>
            <w:tcBorders>
              <w:top w:val="single" w:sz="4" w:space="0" w:color="auto"/>
              <w:left w:val="nil"/>
              <w:bottom w:val="single" w:sz="4" w:space="0" w:color="auto"/>
              <w:right w:val="single" w:sz="4" w:space="0" w:color="auto"/>
            </w:tcBorders>
            <w:vAlign w:val="center"/>
          </w:tcPr>
          <w:p w14:paraId="2CC4F668"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2223E181" w14:textId="77777777">
        <w:trPr>
          <w:trHeight w:val="570"/>
        </w:trPr>
        <w:tc>
          <w:tcPr>
            <w:tcW w:w="1980" w:type="dxa"/>
            <w:gridSpan w:val="2"/>
            <w:tcBorders>
              <w:top w:val="single" w:sz="4" w:space="0" w:color="auto"/>
              <w:left w:val="single" w:sz="4" w:space="0" w:color="auto"/>
              <w:bottom w:val="single" w:sz="4" w:space="0" w:color="auto"/>
              <w:right w:val="single" w:sz="4" w:space="0" w:color="auto"/>
            </w:tcBorders>
            <w:vAlign w:val="center"/>
          </w:tcPr>
          <w:p w14:paraId="45AC5027" w14:textId="77777777" w:rsidR="00AF43BD" w:rsidRDefault="00000000">
            <w:pPr>
              <w:spacing w:line="30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补修课</w:t>
            </w:r>
          </w:p>
        </w:tc>
        <w:tc>
          <w:tcPr>
            <w:tcW w:w="2977" w:type="dxa"/>
            <w:tcBorders>
              <w:top w:val="single" w:sz="4" w:space="0" w:color="auto"/>
              <w:left w:val="nil"/>
              <w:bottom w:val="single" w:sz="4" w:space="0" w:color="auto"/>
              <w:right w:val="single" w:sz="4" w:space="0" w:color="auto"/>
            </w:tcBorders>
            <w:vAlign w:val="center"/>
          </w:tcPr>
          <w:p w14:paraId="7E8BB6B0" w14:textId="77777777" w:rsidR="00AF43BD" w:rsidRDefault="00000000">
            <w:pP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植物纤维化学综合分析、高等有机化学、绿色制革</w:t>
            </w:r>
            <w:r>
              <w:rPr>
                <w:rFonts w:ascii="仿宋_GB2312" w:eastAsia="仿宋_GB2312" w:hAnsi="仿宋_GB2312" w:cs="仿宋_GB2312" w:hint="eastAsia"/>
                <w:sz w:val="24"/>
                <w:szCs w:val="24"/>
                <w:lang w:eastAsia="zh-CN"/>
              </w:rPr>
              <w:lastRenderedPageBreak/>
              <w:t>技术、高等印刷材料科学与技术、现代印刷与包装技术与装备（根据研究方向任选2门）</w:t>
            </w:r>
          </w:p>
        </w:tc>
        <w:tc>
          <w:tcPr>
            <w:tcW w:w="1281" w:type="dxa"/>
            <w:tcBorders>
              <w:top w:val="single" w:sz="4" w:space="0" w:color="auto"/>
              <w:left w:val="nil"/>
              <w:bottom w:val="single" w:sz="4" w:space="0" w:color="auto"/>
              <w:right w:val="single" w:sz="4" w:space="0" w:color="auto"/>
            </w:tcBorders>
            <w:vAlign w:val="center"/>
          </w:tcPr>
          <w:p w14:paraId="50EC8BED" w14:textId="77777777" w:rsidR="00AF43BD" w:rsidRDefault="00AF43BD">
            <w:pPr>
              <w:jc w:val="center"/>
              <w:rPr>
                <w:rFonts w:ascii="仿宋_GB2312" w:eastAsia="仿宋_GB2312" w:hAnsi="仿宋_GB2312" w:cs="仿宋_GB2312" w:hint="eastAsia"/>
                <w:sz w:val="24"/>
                <w:szCs w:val="24"/>
                <w:lang w:eastAsia="zh-CN"/>
              </w:rPr>
            </w:pPr>
          </w:p>
        </w:tc>
        <w:tc>
          <w:tcPr>
            <w:tcW w:w="821" w:type="dxa"/>
            <w:tcBorders>
              <w:top w:val="single" w:sz="4" w:space="0" w:color="auto"/>
              <w:left w:val="nil"/>
              <w:bottom w:val="single" w:sz="4" w:space="0" w:color="auto"/>
              <w:right w:val="single" w:sz="4" w:space="0" w:color="auto"/>
            </w:tcBorders>
            <w:vAlign w:val="center"/>
          </w:tcPr>
          <w:p w14:paraId="1DC0E508"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0</w:t>
            </w:r>
          </w:p>
        </w:tc>
        <w:tc>
          <w:tcPr>
            <w:tcW w:w="1418" w:type="dxa"/>
            <w:tcBorders>
              <w:top w:val="single" w:sz="4" w:space="0" w:color="auto"/>
              <w:left w:val="nil"/>
              <w:bottom w:val="single" w:sz="4" w:space="0" w:color="auto"/>
              <w:right w:val="single" w:sz="4" w:space="0" w:color="auto"/>
            </w:tcBorders>
            <w:vAlign w:val="center"/>
          </w:tcPr>
          <w:p w14:paraId="0C1F26E5" w14:textId="77777777" w:rsidR="00AF43BD" w:rsidRDefault="00000000">
            <w:pPr>
              <w:spacing w:line="30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0</w:t>
            </w:r>
          </w:p>
        </w:tc>
      </w:tr>
      <w:tr w:rsidR="00AF43BD" w14:paraId="05612988" w14:textId="77777777">
        <w:trPr>
          <w:trHeight w:val="465"/>
        </w:trPr>
        <w:tc>
          <w:tcPr>
            <w:tcW w:w="1980" w:type="dxa"/>
            <w:gridSpan w:val="2"/>
            <w:vMerge w:val="restart"/>
            <w:tcBorders>
              <w:top w:val="single" w:sz="4" w:space="0" w:color="auto"/>
              <w:left w:val="single" w:sz="4" w:space="0" w:color="auto"/>
              <w:right w:val="single" w:sz="4" w:space="0" w:color="auto"/>
            </w:tcBorders>
            <w:vAlign w:val="center"/>
          </w:tcPr>
          <w:p w14:paraId="558EE22F" w14:textId="77777777" w:rsidR="00AF43BD" w:rsidRDefault="00000000">
            <w:pPr>
              <w:spacing w:line="30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必修环节</w:t>
            </w:r>
          </w:p>
        </w:tc>
        <w:tc>
          <w:tcPr>
            <w:tcW w:w="2977" w:type="dxa"/>
            <w:tcBorders>
              <w:top w:val="nil"/>
              <w:left w:val="nil"/>
              <w:bottom w:val="single" w:sz="4" w:space="0" w:color="auto"/>
              <w:right w:val="single" w:sz="4" w:space="0" w:color="auto"/>
            </w:tcBorders>
            <w:vAlign w:val="center"/>
          </w:tcPr>
          <w:p w14:paraId="65881A7C"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体美劳综合素养提升</w:t>
            </w:r>
          </w:p>
        </w:tc>
        <w:tc>
          <w:tcPr>
            <w:tcW w:w="1281" w:type="dxa"/>
            <w:tcBorders>
              <w:top w:val="nil"/>
              <w:left w:val="nil"/>
              <w:bottom w:val="single" w:sz="4" w:space="0" w:color="auto"/>
              <w:right w:val="single" w:sz="4" w:space="0" w:color="auto"/>
            </w:tcBorders>
            <w:vAlign w:val="center"/>
          </w:tcPr>
          <w:p w14:paraId="316CF917"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必修</w:t>
            </w:r>
          </w:p>
        </w:tc>
        <w:tc>
          <w:tcPr>
            <w:tcW w:w="821" w:type="dxa"/>
            <w:tcBorders>
              <w:top w:val="nil"/>
              <w:left w:val="nil"/>
              <w:bottom w:val="single" w:sz="4" w:space="0" w:color="auto"/>
              <w:right w:val="single" w:sz="4" w:space="0" w:color="auto"/>
            </w:tcBorders>
            <w:vAlign w:val="center"/>
          </w:tcPr>
          <w:p w14:paraId="3C9CAC5D"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1</w:t>
            </w:r>
          </w:p>
        </w:tc>
        <w:tc>
          <w:tcPr>
            <w:tcW w:w="1418" w:type="dxa"/>
            <w:vMerge w:val="restart"/>
            <w:tcBorders>
              <w:top w:val="single" w:sz="4" w:space="0" w:color="auto"/>
              <w:left w:val="nil"/>
              <w:right w:val="single" w:sz="4" w:space="0" w:color="auto"/>
            </w:tcBorders>
            <w:vAlign w:val="center"/>
          </w:tcPr>
          <w:p w14:paraId="618D50C9" w14:textId="77777777" w:rsidR="00AF43BD" w:rsidRDefault="00000000">
            <w:pPr>
              <w:spacing w:line="30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11</w:t>
            </w:r>
          </w:p>
        </w:tc>
      </w:tr>
      <w:tr w:rsidR="00AF43BD" w14:paraId="166F3948" w14:textId="77777777">
        <w:trPr>
          <w:trHeight w:val="406"/>
        </w:trPr>
        <w:tc>
          <w:tcPr>
            <w:tcW w:w="1980" w:type="dxa"/>
            <w:gridSpan w:val="2"/>
            <w:vMerge/>
            <w:tcBorders>
              <w:left w:val="single" w:sz="4" w:space="0" w:color="auto"/>
              <w:right w:val="single" w:sz="4" w:space="0" w:color="auto"/>
            </w:tcBorders>
            <w:vAlign w:val="center"/>
          </w:tcPr>
          <w:p w14:paraId="7B82F934"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nil"/>
              <w:left w:val="nil"/>
              <w:bottom w:val="single" w:sz="4" w:space="0" w:color="auto"/>
              <w:right w:val="single" w:sz="4" w:space="0" w:color="auto"/>
            </w:tcBorders>
            <w:vAlign w:val="bottom"/>
          </w:tcPr>
          <w:p w14:paraId="6A9F45EF"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学位论文开题或实践成果可行性论证</w:t>
            </w:r>
          </w:p>
        </w:tc>
        <w:tc>
          <w:tcPr>
            <w:tcW w:w="1281" w:type="dxa"/>
            <w:tcBorders>
              <w:top w:val="nil"/>
              <w:left w:val="nil"/>
              <w:bottom w:val="single" w:sz="4" w:space="0" w:color="auto"/>
              <w:right w:val="single" w:sz="4" w:space="0" w:color="auto"/>
            </w:tcBorders>
            <w:vAlign w:val="bottom"/>
          </w:tcPr>
          <w:p w14:paraId="7B4AE060" w14:textId="77777777" w:rsidR="00AF43BD" w:rsidRDefault="00000000">
            <w:pPr>
              <w:spacing w:line="48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必修</w:t>
            </w:r>
          </w:p>
        </w:tc>
        <w:tc>
          <w:tcPr>
            <w:tcW w:w="821" w:type="dxa"/>
            <w:tcBorders>
              <w:top w:val="nil"/>
              <w:left w:val="nil"/>
              <w:bottom w:val="single" w:sz="4" w:space="0" w:color="auto"/>
              <w:right w:val="single" w:sz="4" w:space="0" w:color="auto"/>
            </w:tcBorders>
            <w:vAlign w:val="bottom"/>
          </w:tcPr>
          <w:p w14:paraId="028EBB10" w14:textId="77777777" w:rsidR="00AF43BD" w:rsidRDefault="00000000">
            <w:pPr>
              <w:spacing w:line="36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1</w:t>
            </w:r>
          </w:p>
        </w:tc>
        <w:tc>
          <w:tcPr>
            <w:tcW w:w="1418" w:type="dxa"/>
            <w:vMerge/>
            <w:tcBorders>
              <w:left w:val="nil"/>
              <w:right w:val="single" w:sz="4" w:space="0" w:color="auto"/>
            </w:tcBorders>
            <w:vAlign w:val="center"/>
          </w:tcPr>
          <w:p w14:paraId="38AB15C7"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602E83E9" w14:textId="77777777">
        <w:trPr>
          <w:trHeight w:val="570"/>
        </w:trPr>
        <w:tc>
          <w:tcPr>
            <w:tcW w:w="1980" w:type="dxa"/>
            <w:gridSpan w:val="2"/>
            <w:vMerge/>
            <w:tcBorders>
              <w:left w:val="single" w:sz="4" w:space="0" w:color="auto"/>
              <w:right w:val="single" w:sz="4" w:space="0" w:color="auto"/>
            </w:tcBorders>
            <w:vAlign w:val="center"/>
          </w:tcPr>
          <w:p w14:paraId="43F53C4C"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nil"/>
              <w:left w:val="nil"/>
              <w:bottom w:val="single" w:sz="4" w:space="0" w:color="auto"/>
              <w:right w:val="single" w:sz="4" w:space="0" w:color="auto"/>
            </w:tcBorders>
            <w:vAlign w:val="bottom"/>
          </w:tcPr>
          <w:p w14:paraId="321711D7" w14:textId="77777777" w:rsidR="00AF43BD" w:rsidRDefault="00000000">
            <w:pPr>
              <w:spacing w:line="36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中期考核</w:t>
            </w:r>
          </w:p>
        </w:tc>
        <w:tc>
          <w:tcPr>
            <w:tcW w:w="1281" w:type="dxa"/>
            <w:tcBorders>
              <w:top w:val="nil"/>
              <w:left w:val="nil"/>
              <w:bottom w:val="single" w:sz="4" w:space="0" w:color="auto"/>
              <w:right w:val="single" w:sz="4" w:space="0" w:color="auto"/>
            </w:tcBorders>
            <w:vAlign w:val="bottom"/>
          </w:tcPr>
          <w:p w14:paraId="3A1443F7" w14:textId="77777777" w:rsidR="00AF43BD" w:rsidRDefault="00000000">
            <w:pPr>
              <w:spacing w:line="36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必修</w:t>
            </w:r>
          </w:p>
        </w:tc>
        <w:tc>
          <w:tcPr>
            <w:tcW w:w="821" w:type="dxa"/>
            <w:tcBorders>
              <w:top w:val="nil"/>
              <w:left w:val="nil"/>
              <w:bottom w:val="single" w:sz="4" w:space="0" w:color="auto"/>
              <w:right w:val="single" w:sz="4" w:space="0" w:color="auto"/>
            </w:tcBorders>
            <w:vAlign w:val="bottom"/>
          </w:tcPr>
          <w:p w14:paraId="368032EC" w14:textId="77777777" w:rsidR="00AF43BD" w:rsidRDefault="00000000">
            <w:pPr>
              <w:spacing w:line="36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1</w:t>
            </w:r>
          </w:p>
        </w:tc>
        <w:tc>
          <w:tcPr>
            <w:tcW w:w="1418" w:type="dxa"/>
            <w:vMerge/>
            <w:tcBorders>
              <w:left w:val="nil"/>
              <w:right w:val="single" w:sz="4" w:space="0" w:color="auto"/>
            </w:tcBorders>
            <w:vAlign w:val="center"/>
          </w:tcPr>
          <w:p w14:paraId="6F2E598E"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0CD1E7C0" w14:textId="77777777">
        <w:trPr>
          <w:trHeight w:val="570"/>
        </w:trPr>
        <w:tc>
          <w:tcPr>
            <w:tcW w:w="1980" w:type="dxa"/>
            <w:gridSpan w:val="2"/>
            <w:vMerge/>
            <w:tcBorders>
              <w:left w:val="single" w:sz="4" w:space="0" w:color="auto"/>
              <w:right w:val="single" w:sz="4" w:space="0" w:color="auto"/>
            </w:tcBorders>
            <w:vAlign w:val="center"/>
          </w:tcPr>
          <w:p w14:paraId="73876E10"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nil"/>
              <w:left w:val="nil"/>
              <w:bottom w:val="single" w:sz="4" w:space="0" w:color="auto"/>
              <w:right w:val="single" w:sz="4" w:space="0" w:color="auto"/>
            </w:tcBorders>
            <w:vAlign w:val="center"/>
          </w:tcPr>
          <w:p w14:paraId="2D9655A6" w14:textId="77777777" w:rsidR="00AF43BD" w:rsidRDefault="00000000">
            <w:pPr>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学术与技术交流</w:t>
            </w:r>
          </w:p>
        </w:tc>
        <w:tc>
          <w:tcPr>
            <w:tcW w:w="1281" w:type="dxa"/>
            <w:tcBorders>
              <w:top w:val="nil"/>
              <w:left w:val="nil"/>
              <w:bottom w:val="single" w:sz="4" w:space="0" w:color="auto"/>
              <w:right w:val="single" w:sz="4" w:space="0" w:color="auto"/>
            </w:tcBorders>
            <w:vAlign w:val="bottom"/>
          </w:tcPr>
          <w:p w14:paraId="7B608244" w14:textId="77777777" w:rsidR="00AF43BD" w:rsidRDefault="00000000">
            <w:pPr>
              <w:spacing w:line="36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必修</w:t>
            </w:r>
          </w:p>
        </w:tc>
        <w:tc>
          <w:tcPr>
            <w:tcW w:w="821" w:type="dxa"/>
            <w:tcBorders>
              <w:top w:val="nil"/>
              <w:left w:val="nil"/>
              <w:bottom w:val="single" w:sz="4" w:space="0" w:color="auto"/>
              <w:right w:val="single" w:sz="4" w:space="0" w:color="auto"/>
            </w:tcBorders>
            <w:vAlign w:val="bottom"/>
          </w:tcPr>
          <w:p w14:paraId="4072570D" w14:textId="77777777" w:rsidR="00AF43BD" w:rsidRDefault="00000000">
            <w:pPr>
              <w:spacing w:line="36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1</w:t>
            </w:r>
          </w:p>
        </w:tc>
        <w:tc>
          <w:tcPr>
            <w:tcW w:w="1418" w:type="dxa"/>
            <w:vMerge/>
            <w:tcBorders>
              <w:left w:val="nil"/>
              <w:right w:val="single" w:sz="4" w:space="0" w:color="auto"/>
            </w:tcBorders>
            <w:vAlign w:val="center"/>
          </w:tcPr>
          <w:p w14:paraId="7D825A5F"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3BA8D845" w14:textId="77777777">
        <w:trPr>
          <w:trHeight w:val="570"/>
        </w:trPr>
        <w:tc>
          <w:tcPr>
            <w:tcW w:w="1980" w:type="dxa"/>
            <w:gridSpan w:val="2"/>
            <w:vMerge/>
            <w:tcBorders>
              <w:left w:val="single" w:sz="4" w:space="0" w:color="auto"/>
              <w:right w:val="single" w:sz="4" w:space="0" w:color="auto"/>
            </w:tcBorders>
            <w:vAlign w:val="center"/>
          </w:tcPr>
          <w:p w14:paraId="6BB46054"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nil"/>
              <w:left w:val="nil"/>
              <w:bottom w:val="single" w:sz="4" w:space="0" w:color="auto"/>
              <w:right w:val="single" w:sz="4" w:space="0" w:color="auto"/>
            </w:tcBorders>
            <w:vAlign w:val="bottom"/>
          </w:tcPr>
          <w:p w14:paraId="01E05D79" w14:textId="77777777" w:rsidR="00AF43BD" w:rsidRDefault="00000000">
            <w:pPr>
              <w:spacing w:line="36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实验室安全</w:t>
            </w:r>
          </w:p>
        </w:tc>
        <w:tc>
          <w:tcPr>
            <w:tcW w:w="1281" w:type="dxa"/>
            <w:tcBorders>
              <w:top w:val="nil"/>
              <w:left w:val="nil"/>
              <w:bottom w:val="single" w:sz="4" w:space="0" w:color="auto"/>
              <w:right w:val="single" w:sz="4" w:space="0" w:color="auto"/>
            </w:tcBorders>
            <w:vAlign w:val="bottom"/>
          </w:tcPr>
          <w:p w14:paraId="176E8E40" w14:textId="77777777" w:rsidR="00AF43BD" w:rsidRDefault="00000000">
            <w:pPr>
              <w:spacing w:line="36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必修</w:t>
            </w:r>
          </w:p>
        </w:tc>
        <w:tc>
          <w:tcPr>
            <w:tcW w:w="821" w:type="dxa"/>
            <w:tcBorders>
              <w:top w:val="nil"/>
              <w:left w:val="nil"/>
              <w:bottom w:val="single" w:sz="4" w:space="0" w:color="auto"/>
              <w:right w:val="single" w:sz="4" w:space="0" w:color="auto"/>
            </w:tcBorders>
            <w:vAlign w:val="bottom"/>
          </w:tcPr>
          <w:p w14:paraId="0753F5F0" w14:textId="77777777" w:rsidR="00AF43BD" w:rsidRDefault="00000000">
            <w:pPr>
              <w:spacing w:line="36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1</w:t>
            </w:r>
          </w:p>
        </w:tc>
        <w:tc>
          <w:tcPr>
            <w:tcW w:w="1418" w:type="dxa"/>
            <w:vMerge/>
            <w:tcBorders>
              <w:left w:val="nil"/>
              <w:right w:val="single" w:sz="4" w:space="0" w:color="auto"/>
            </w:tcBorders>
            <w:vAlign w:val="center"/>
          </w:tcPr>
          <w:p w14:paraId="3B0EA3A6"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68907194" w14:textId="77777777">
        <w:trPr>
          <w:trHeight w:val="570"/>
        </w:trPr>
        <w:tc>
          <w:tcPr>
            <w:tcW w:w="1980" w:type="dxa"/>
            <w:gridSpan w:val="2"/>
            <w:vMerge/>
            <w:tcBorders>
              <w:left w:val="single" w:sz="4" w:space="0" w:color="auto"/>
              <w:right w:val="single" w:sz="4" w:space="0" w:color="auto"/>
            </w:tcBorders>
            <w:vAlign w:val="center"/>
          </w:tcPr>
          <w:p w14:paraId="577D950C" w14:textId="77777777" w:rsidR="00AF43BD" w:rsidRDefault="00AF43BD">
            <w:pPr>
              <w:spacing w:line="300" w:lineRule="auto"/>
              <w:jc w:val="center"/>
              <w:rPr>
                <w:rFonts w:ascii="仿宋_GB2312" w:eastAsia="仿宋_GB2312" w:hAnsi="仿宋_GB2312" w:cs="仿宋_GB2312" w:hint="eastAsia"/>
                <w:sz w:val="24"/>
                <w:szCs w:val="24"/>
                <w:lang w:eastAsia="zh-CN"/>
              </w:rPr>
            </w:pPr>
          </w:p>
        </w:tc>
        <w:tc>
          <w:tcPr>
            <w:tcW w:w="2977" w:type="dxa"/>
            <w:tcBorders>
              <w:top w:val="nil"/>
              <w:left w:val="nil"/>
              <w:bottom w:val="single" w:sz="4" w:space="0" w:color="auto"/>
              <w:right w:val="single" w:sz="4" w:space="0" w:color="auto"/>
            </w:tcBorders>
            <w:vAlign w:val="bottom"/>
          </w:tcPr>
          <w:p w14:paraId="07CBE03A" w14:textId="77777777" w:rsidR="00AF43BD" w:rsidRDefault="00000000">
            <w:pPr>
              <w:spacing w:line="36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专业实践</w:t>
            </w:r>
          </w:p>
        </w:tc>
        <w:tc>
          <w:tcPr>
            <w:tcW w:w="1281" w:type="dxa"/>
            <w:tcBorders>
              <w:top w:val="nil"/>
              <w:left w:val="nil"/>
              <w:bottom w:val="single" w:sz="4" w:space="0" w:color="auto"/>
              <w:right w:val="single" w:sz="4" w:space="0" w:color="auto"/>
            </w:tcBorders>
            <w:vAlign w:val="bottom"/>
          </w:tcPr>
          <w:p w14:paraId="3365D601" w14:textId="77777777" w:rsidR="00AF43BD" w:rsidRDefault="00000000">
            <w:pPr>
              <w:spacing w:line="36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必修</w:t>
            </w:r>
          </w:p>
        </w:tc>
        <w:tc>
          <w:tcPr>
            <w:tcW w:w="821" w:type="dxa"/>
            <w:tcBorders>
              <w:top w:val="nil"/>
              <w:left w:val="nil"/>
              <w:bottom w:val="single" w:sz="4" w:space="0" w:color="auto"/>
              <w:right w:val="single" w:sz="4" w:space="0" w:color="auto"/>
            </w:tcBorders>
            <w:vAlign w:val="bottom"/>
          </w:tcPr>
          <w:p w14:paraId="64CFC265" w14:textId="77777777" w:rsidR="00AF43BD" w:rsidRDefault="00000000">
            <w:pPr>
              <w:spacing w:line="36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6</w:t>
            </w:r>
          </w:p>
        </w:tc>
        <w:tc>
          <w:tcPr>
            <w:tcW w:w="1418" w:type="dxa"/>
            <w:vMerge/>
            <w:tcBorders>
              <w:left w:val="nil"/>
              <w:right w:val="single" w:sz="4" w:space="0" w:color="auto"/>
            </w:tcBorders>
            <w:vAlign w:val="center"/>
          </w:tcPr>
          <w:p w14:paraId="11619B53" w14:textId="77777777" w:rsidR="00AF43BD" w:rsidRDefault="00AF43BD">
            <w:pPr>
              <w:spacing w:line="300" w:lineRule="auto"/>
              <w:jc w:val="center"/>
              <w:rPr>
                <w:rFonts w:ascii="仿宋_GB2312" w:eastAsia="仿宋_GB2312" w:hAnsi="仿宋_GB2312" w:cs="仿宋_GB2312" w:hint="eastAsia"/>
                <w:sz w:val="24"/>
                <w:szCs w:val="24"/>
                <w:lang w:eastAsia="zh-CN"/>
              </w:rPr>
            </w:pPr>
          </w:p>
        </w:tc>
      </w:tr>
      <w:tr w:rsidR="00AF43BD" w14:paraId="5D9387CE" w14:textId="77777777">
        <w:trPr>
          <w:trHeight w:val="528"/>
        </w:trPr>
        <w:tc>
          <w:tcPr>
            <w:tcW w:w="1980" w:type="dxa"/>
            <w:gridSpan w:val="2"/>
            <w:tcBorders>
              <w:top w:val="single" w:sz="4" w:space="0" w:color="auto"/>
              <w:left w:val="single" w:sz="4" w:space="0" w:color="auto"/>
              <w:bottom w:val="single" w:sz="4" w:space="0" w:color="auto"/>
              <w:right w:val="single" w:sz="4" w:space="0" w:color="auto"/>
            </w:tcBorders>
            <w:vAlign w:val="bottom"/>
          </w:tcPr>
          <w:p w14:paraId="08621DF9" w14:textId="77777777" w:rsidR="00AF43BD" w:rsidRDefault="00000000">
            <w:pPr>
              <w:spacing w:line="36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总学分</w:t>
            </w:r>
          </w:p>
        </w:tc>
        <w:tc>
          <w:tcPr>
            <w:tcW w:w="2977" w:type="dxa"/>
            <w:tcBorders>
              <w:top w:val="nil"/>
              <w:left w:val="nil"/>
              <w:bottom w:val="single" w:sz="4" w:space="0" w:color="auto"/>
              <w:right w:val="single" w:sz="4" w:space="0" w:color="auto"/>
            </w:tcBorders>
            <w:vAlign w:val="bottom"/>
          </w:tcPr>
          <w:p w14:paraId="37249FD1" w14:textId="77777777" w:rsidR="00AF43BD" w:rsidRDefault="00AF43BD">
            <w:pPr>
              <w:spacing w:line="360" w:lineRule="auto"/>
              <w:jc w:val="center"/>
              <w:rPr>
                <w:rFonts w:ascii="仿宋_GB2312" w:eastAsia="仿宋_GB2312" w:hAnsi="仿宋_GB2312" w:cs="仿宋_GB2312" w:hint="eastAsia"/>
                <w:sz w:val="24"/>
                <w:szCs w:val="24"/>
                <w:lang w:eastAsia="zh-CN"/>
              </w:rPr>
            </w:pPr>
          </w:p>
        </w:tc>
        <w:tc>
          <w:tcPr>
            <w:tcW w:w="1281" w:type="dxa"/>
            <w:tcBorders>
              <w:top w:val="nil"/>
              <w:left w:val="nil"/>
              <w:bottom w:val="single" w:sz="4" w:space="0" w:color="auto"/>
              <w:right w:val="single" w:sz="4" w:space="0" w:color="auto"/>
            </w:tcBorders>
            <w:vAlign w:val="bottom"/>
          </w:tcPr>
          <w:p w14:paraId="1313DDE9" w14:textId="77777777" w:rsidR="00AF43BD" w:rsidRDefault="00AF43BD">
            <w:pPr>
              <w:spacing w:line="360" w:lineRule="auto"/>
              <w:jc w:val="center"/>
              <w:rPr>
                <w:rFonts w:ascii="仿宋_GB2312" w:eastAsia="仿宋_GB2312" w:hAnsi="仿宋_GB2312" w:cs="仿宋_GB2312" w:hint="eastAsia"/>
                <w:sz w:val="24"/>
                <w:szCs w:val="24"/>
                <w:lang w:eastAsia="zh-CN"/>
              </w:rPr>
            </w:pPr>
          </w:p>
        </w:tc>
        <w:tc>
          <w:tcPr>
            <w:tcW w:w="821" w:type="dxa"/>
            <w:tcBorders>
              <w:top w:val="nil"/>
              <w:left w:val="nil"/>
              <w:bottom w:val="single" w:sz="4" w:space="0" w:color="auto"/>
              <w:right w:val="single" w:sz="4" w:space="0" w:color="auto"/>
            </w:tcBorders>
            <w:vAlign w:val="bottom"/>
          </w:tcPr>
          <w:p w14:paraId="7C34E3F8" w14:textId="77777777" w:rsidR="00AF43BD" w:rsidRDefault="00AF43BD">
            <w:pPr>
              <w:spacing w:line="360" w:lineRule="auto"/>
              <w:jc w:val="center"/>
              <w:rPr>
                <w:rFonts w:ascii="仿宋_GB2312" w:eastAsia="仿宋_GB2312" w:hAnsi="仿宋_GB2312" w:cs="仿宋_GB2312" w:hint="eastAsia"/>
                <w:sz w:val="24"/>
                <w:szCs w:val="24"/>
                <w:lang w:eastAsia="zh-CN"/>
              </w:rPr>
            </w:pPr>
          </w:p>
        </w:tc>
        <w:tc>
          <w:tcPr>
            <w:tcW w:w="1418" w:type="dxa"/>
            <w:tcBorders>
              <w:top w:val="single" w:sz="4" w:space="0" w:color="auto"/>
              <w:left w:val="nil"/>
              <w:bottom w:val="single" w:sz="4" w:space="0" w:color="auto"/>
              <w:right w:val="single" w:sz="4" w:space="0" w:color="auto"/>
            </w:tcBorders>
            <w:vAlign w:val="bottom"/>
          </w:tcPr>
          <w:p w14:paraId="141AA75E" w14:textId="0ABA9EF3" w:rsidR="00AF43BD" w:rsidRDefault="00000000">
            <w:pPr>
              <w:spacing w:line="360" w:lineRule="auto"/>
              <w:jc w:val="center"/>
              <w:rPr>
                <w:rFonts w:ascii="仿宋_GB2312" w:eastAsia="仿宋_GB2312" w:hAnsi="仿宋_GB2312" w:cs="仿宋_GB2312" w:hint="eastAsia"/>
                <w:sz w:val="24"/>
                <w:szCs w:val="24"/>
                <w:lang w:eastAsia="zh-CN"/>
              </w:rPr>
            </w:pPr>
            <w:r>
              <w:rPr>
                <w:rFonts w:ascii="仿宋_GB2312" w:eastAsia="仿宋_GB2312" w:hAnsi="仿宋_GB2312" w:cs="仿宋_GB2312" w:hint="eastAsia"/>
                <w:sz w:val="24"/>
                <w:szCs w:val="24"/>
                <w:lang w:eastAsia="zh-CN"/>
              </w:rPr>
              <w:t>≥</w:t>
            </w:r>
            <w:r w:rsidR="006E5FB4">
              <w:rPr>
                <w:rFonts w:ascii="仿宋_GB2312" w:eastAsia="仿宋_GB2312" w:hAnsi="仿宋_GB2312" w:cs="仿宋_GB2312" w:hint="eastAsia"/>
                <w:sz w:val="24"/>
                <w:szCs w:val="24"/>
                <w:lang w:eastAsia="zh-CN"/>
              </w:rPr>
              <w:t>26</w:t>
            </w:r>
          </w:p>
        </w:tc>
      </w:tr>
    </w:tbl>
    <w:p w14:paraId="7FCDCEB0" w14:textId="77777777" w:rsidR="00AF43BD" w:rsidRDefault="00AF43BD">
      <w:pPr>
        <w:spacing w:before="4" w:line="300" w:lineRule="auto"/>
        <w:ind w:left="22" w:right="97" w:firstLine="674"/>
        <w:jc w:val="both"/>
        <w:rPr>
          <w:rFonts w:ascii="宋体" w:eastAsia="宋体" w:hAnsi="宋体" w:cs="宋体" w:hint="eastAsia"/>
          <w:color w:val="0070C0"/>
          <w:spacing w:val="-2"/>
          <w:sz w:val="28"/>
          <w:szCs w:val="28"/>
        </w:rPr>
      </w:pPr>
    </w:p>
    <w:p w14:paraId="157F2283" w14:textId="77777777" w:rsidR="00AF43BD" w:rsidRDefault="00000000">
      <w:pPr>
        <w:widowControl w:val="0"/>
        <w:kinsoku/>
        <w:autoSpaceDE/>
        <w:autoSpaceDN/>
        <w:spacing w:line="560" w:lineRule="exact"/>
        <w:ind w:firstLineChars="200" w:firstLine="643"/>
        <w:jc w:val="both"/>
        <w:textAlignment w:val="auto"/>
        <w:outlineLvl w:val="0"/>
        <w:rPr>
          <w:rFonts w:ascii="黑体" w:eastAsia="黑体" w:hAnsi="黑体" w:cs="黑体" w:hint="eastAsia"/>
          <w:b/>
          <w:bCs/>
          <w:snapToGrid/>
          <w:color w:val="000000" w:themeColor="text1"/>
          <w:kern w:val="2"/>
          <w:sz w:val="32"/>
          <w:szCs w:val="32"/>
        </w:rPr>
      </w:pPr>
      <w:r>
        <w:rPr>
          <w:rFonts w:ascii="黑体" w:eastAsia="黑体" w:hAnsi="黑体" w:cs="黑体" w:hint="eastAsia"/>
          <w:b/>
          <w:bCs/>
          <w:snapToGrid/>
          <w:color w:val="000000" w:themeColor="text1"/>
          <w:kern w:val="2"/>
          <w:sz w:val="32"/>
          <w:szCs w:val="32"/>
          <w:lang w:eastAsia="zh-CN"/>
        </w:rPr>
        <w:t>七</w:t>
      </w:r>
      <w:r>
        <w:rPr>
          <w:rFonts w:ascii="黑体" w:eastAsia="黑体" w:hAnsi="黑体" w:cs="黑体" w:hint="eastAsia"/>
          <w:b/>
          <w:bCs/>
          <w:snapToGrid/>
          <w:color w:val="000000" w:themeColor="text1"/>
          <w:kern w:val="2"/>
          <w:sz w:val="32"/>
          <w:szCs w:val="32"/>
        </w:rPr>
        <w:t>、综合考核</w:t>
      </w:r>
    </w:p>
    <w:p w14:paraId="495BB6B5"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综合考核是博士研究生完成课程学习通过后，对其进行的一次综合考核，主要对博士研究生的思想政治素质、学习工作态度、基础理论和专业知识的掌</w:t>
      </w:r>
      <w:r>
        <w:rPr>
          <w:rFonts w:ascii="仿宋_GB2312" w:eastAsia="仿宋_GB2312" w:hAnsi="仿宋_GB2312" w:cs="仿宋_GB2312" w:hint="eastAsia"/>
          <w:spacing w:val="2"/>
          <w:sz w:val="32"/>
          <w:szCs w:val="32"/>
          <w:lang w:eastAsia="zh-CN"/>
        </w:rPr>
        <w:t>握程度、学术交流能力，</w:t>
      </w:r>
      <w:r>
        <w:rPr>
          <w:rFonts w:ascii="仿宋_GB2312" w:eastAsia="仿宋_GB2312" w:hAnsi="仿宋_GB2312" w:cs="仿宋_GB2312" w:hint="eastAsia"/>
          <w:spacing w:val="12"/>
          <w:sz w:val="32"/>
          <w:szCs w:val="32"/>
          <w:lang w:eastAsia="zh-CN"/>
        </w:rPr>
        <w:t>以及独立科研能力和实践创新能力等进行综合考评，是博士</w:t>
      </w:r>
      <w:r>
        <w:rPr>
          <w:rFonts w:ascii="仿宋_GB2312" w:eastAsia="仿宋_GB2312" w:hAnsi="仿宋_GB2312" w:cs="仿宋_GB2312" w:hint="eastAsia"/>
          <w:spacing w:val="8"/>
          <w:sz w:val="32"/>
          <w:szCs w:val="32"/>
          <w:lang w:eastAsia="zh-CN"/>
        </w:rPr>
        <w:t>研究生培养过程的一个重要环节。综合考核通过后，方可转</w:t>
      </w:r>
      <w:r>
        <w:rPr>
          <w:rFonts w:ascii="仿宋_GB2312" w:eastAsia="仿宋_GB2312" w:hAnsi="仿宋_GB2312" w:cs="仿宋_GB2312" w:hint="eastAsia"/>
          <w:spacing w:val="9"/>
          <w:sz w:val="32"/>
          <w:szCs w:val="32"/>
          <w:lang w:eastAsia="zh-CN"/>
        </w:rPr>
        <w:t>入学位论文开题或申请学位实践成果可行性论证阶段。</w:t>
      </w:r>
    </w:p>
    <w:p w14:paraId="5E7D23A8" w14:textId="77777777" w:rsidR="00AF43BD" w:rsidRDefault="00000000">
      <w:pPr>
        <w:widowControl w:val="0"/>
        <w:kinsoku/>
        <w:autoSpaceDE/>
        <w:autoSpaceDN/>
        <w:spacing w:line="560" w:lineRule="exact"/>
        <w:ind w:firstLineChars="200" w:firstLine="643"/>
        <w:jc w:val="both"/>
        <w:textAlignment w:val="auto"/>
        <w:outlineLvl w:val="0"/>
        <w:rPr>
          <w:rFonts w:ascii="黑体" w:eastAsia="黑体" w:hAnsi="黑体" w:cs="黑体" w:hint="eastAsia"/>
          <w:b/>
          <w:bCs/>
          <w:snapToGrid/>
          <w:color w:val="000000" w:themeColor="text1"/>
          <w:kern w:val="2"/>
          <w:sz w:val="32"/>
          <w:szCs w:val="32"/>
          <w:lang w:eastAsia="zh-CN"/>
        </w:rPr>
      </w:pPr>
      <w:r>
        <w:rPr>
          <w:rFonts w:ascii="黑体" w:eastAsia="黑体" w:hAnsi="黑体" w:cs="黑体" w:hint="eastAsia"/>
          <w:b/>
          <w:bCs/>
          <w:snapToGrid/>
          <w:color w:val="000000" w:themeColor="text1"/>
          <w:kern w:val="2"/>
          <w:sz w:val="32"/>
          <w:szCs w:val="32"/>
          <w:lang w:eastAsia="zh-CN"/>
        </w:rPr>
        <w:t>八、学位论文与申请学位实践成果</w:t>
      </w:r>
    </w:p>
    <w:p w14:paraId="01CDBF13"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学位论文和申请学位实践成果是博士研究生申请博士学位的两种成果形式，博</w:t>
      </w:r>
      <w:r>
        <w:rPr>
          <w:rFonts w:ascii="仿宋_GB2312" w:eastAsia="仿宋_GB2312" w:hAnsi="仿宋_GB2312" w:cs="仿宋_GB2312" w:hint="eastAsia"/>
          <w:spacing w:val="8"/>
          <w:sz w:val="32"/>
          <w:szCs w:val="32"/>
          <w:lang w:eastAsia="zh-CN"/>
        </w:rPr>
        <w:t>士研究生可选择其中一种申请学位。</w:t>
      </w:r>
    </w:p>
    <w:p w14:paraId="4D27E39D"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1.学位论文</w:t>
      </w:r>
    </w:p>
    <w:p w14:paraId="0E53E238"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pacing w:val="6"/>
          <w:sz w:val="32"/>
          <w:szCs w:val="32"/>
          <w:lang w:eastAsia="zh-CN"/>
        </w:rPr>
      </w:pPr>
      <w:r>
        <w:rPr>
          <w:rFonts w:ascii="仿宋_GB2312" w:eastAsia="仿宋_GB2312" w:hAnsi="仿宋_GB2312" w:cs="仿宋_GB2312" w:hint="eastAsia"/>
          <w:sz w:val="32"/>
          <w:szCs w:val="32"/>
          <w:lang w:eastAsia="zh-CN"/>
        </w:rPr>
        <w:t>学位论文应主要聚焦工程技术和应用研究，须体现工程性、创新性、实践性、应用性等特征，体现学位申请人具备独立承担本专业领域实践工作的能</w:t>
      </w:r>
      <w:r>
        <w:rPr>
          <w:rFonts w:ascii="仿宋_GB2312" w:eastAsia="仿宋_GB2312" w:hAnsi="仿宋_GB2312" w:cs="仿宋_GB2312" w:hint="eastAsia"/>
          <w:spacing w:val="11"/>
          <w:sz w:val="32"/>
          <w:szCs w:val="32"/>
          <w:lang w:eastAsia="zh-CN"/>
        </w:rPr>
        <w:t>力，在本专业领域做出创新性成</w:t>
      </w:r>
      <w:r>
        <w:rPr>
          <w:rFonts w:ascii="仿宋_GB2312" w:eastAsia="仿宋_GB2312" w:hAnsi="仿宋_GB2312" w:cs="仿宋_GB2312" w:hint="eastAsia"/>
          <w:spacing w:val="11"/>
          <w:sz w:val="32"/>
          <w:szCs w:val="32"/>
          <w:lang w:eastAsia="zh-CN"/>
        </w:rPr>
        <w:lastRenderedPageBreak/>
        <w:t>果，对推动本专业领域知识和工程技术的发展做出重</w:t>
      </w:r>
      <w:r>
        <w:rPr>
          <w:rFonts w:ascii="仿宋_GB2312" w:eastAsia="仿宋_GB2312" w:hAnsi="仿宋_GB2312" w:cs="仿宋_GB2312" w:hint="eastAsia"/>
          <w:spacing w:val="4"/>
          <w:sz w:val="32"/>
          <w:szCs w:val="32"/>
          <w:lang w:eastAsia="zh-CN"/>
        </w:rPr>
        <w:t>要贡献。可围绕工程新技术研究、工程设计与实施、工程应</w:t>
      </w:r>
      <w:r>
        <w:rPr>
          <w:rFonts w:ascii="仿宋_GB2312" w:eastAsia="仿宋_GB2312" w:hAnsi="仿宋_GB2312" w:cs="仿宋_GB2312" w:hint="eastAsia"/>
          <w:spacing w:val="6"/>
          <w:sz w:val="32"/>
          <w:szCs w:val="32"/>
          <w:lang w:eastAsia="zh-CN"/>
        </w:rPr>
        <w:t>用研发等撰写。</w:t>
      </w:r>
    </w:p>
    <w:p w14:paraId="431A4334"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color w:val="000000" w:themeColor="text1"/>
          <w:sz w:val="32"/>
          <w:szCs w:val="32"/>
          <w:lang w:eastAsia="zh-CN"/>
        </w:rPr>
      </w:pPr>
      <w:r>
        <w:rPr>
          <w:rFonts w:ascii="仿宋_GB2312" w:eastAsia="仿宋_GB2312" w:hAnsi="仿宋_GB2312" w:cs="仿宋_GB2312" w:hint="eastAsia"/>
          <w:color w:val="000000" w:themeColor="text1"/>
          <w:sz w:val="32"/>
          <w:szCs w:val="32"/>
          <w:lang w:eastAsia="zh-CN"/>
        </w:rPr>
        <w:t>学位论文工作主要包括学位论文开题报告、中期考核、预答辩、学术和技术规范性检测、评审和答辩等环节。</w:t>
      </w:r>
    </w:p>
    <w:p w14:paraId="6190F8F5"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（1）学位论文开题报告</w:t>
      </w:r>
    </w:p>
    <w:p w14:paraId="11ABAB65"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博士研究生应依托重大、重要工程项目开展学位论文选题。应具有理论深度和先进性，拟解决</w:t>
      </w:r>
      <w:r>
        <w:rPr>
          <w:rFonts w:ascii="仿宋_GB2312" w:eastAsia="仿宋_GB2312" w:hAnsi="仿宋_GB2312" w:cs="仿宋_GB2312" w:hint="eastAsia"/>
          <w:spacing w:val="8"/>
          <w:sz w:val="32"/>
          <w:szCs w:val="32"/>
          <w:lang w:eastAsia="zh-CN"/>
        </w:rPr>
        <w:t>的问题要有较大的技</w:t>
      </w:r>
      <w:r>
        <w:rPr>
          <w:rFonts w:ascii="仿宋_GB2312" w:eastAsia="仿宋_GB2312" w:hAnsi="仿宋_GB2312" w:cs="仿宋_GB2312" w:hint="eastAsia"/>
          <w:spacing w:val="12"/>
          <w:sz w:val="32"/>
          <w:szCs w:val="32"/>
          <w:lang w:eastAsia="zh-CN"/>
        </w:rPr>
        <w:t>术难度和饱满的工作量，研究成果要有重要的</w:t>
      </w:r>
      <w:r>
        <w:rPr>
          <w:rFonts w:ascii="仿宋_GB2312" w:eastAsia="仿宋_GB2312" w:hAnsi="仿宋_GB2312" w:cs="仿宋_GB2312" w:hint="eastAsia"/>
          <w:spacing w:val="11"/>
          <w:sz w:val="32"/>
          <w:szCs w:val="32"/>
          <w:lang w:eastAsia="zh-CN"/>
        </w:rPr>
        <w:t>实际应用价值</w:t>
      </w:r>
      <w:r>
        <w:rPr>
          <w:rFonts w:ascii="仿宋_GB2312" w:eastAsia="仿宋_GB2312" w:hAnsi="仿宋_GB2312" w:cs="仿宋_GB2312" w:hint="eastAsia"/>
          <w:spacing w:val="5"/>
          <w:sz w:val="32"/>
          <w:szCs w:val="32"/>
          <w:lang w:eastAsia="zh-CN"/>
        </w:rPr>
        <w:t>和较好的推广价值。选题方向包括（但不仅限于</w:t>
      </w:r>
      <w:r>
        <w:rPr>
          <w:rFonts w:ascii="仿宋_GB2312" w:eastAsia="仿宋_GB2312" w:hAnsi="仿宋_GB2312" w:cs="仿宋_GB2312" w:hint="eastAsia"/>
          <w:spacing w:val="-85"/>
          <w:sz w:val="32"/>
          <w:szCs w:val="32"/>
          <w:lang w:eastAsia="zh-CN"/>
        </w:rPr>
        <w:t>）：</w:t>
      </w:r>
      <w:r>
        <w:rPr>
          <w:rFonts w:ascii="仿宋_GB2312" w:eastAsia="仿宋_GB2312" w:hAnsi="仿宋_GB2312" w:cs="仿宋_GB2312" w:hint="eastAsia"/>
          <w:spacing w:val="5"/>
          <w:sz w:val="32"/>
          <w:szCs w:val="32"/>
          <w:lang w:eastAsia="zh-CN"/>
        </w:rPr>
        <w:t>技术</w:t>
      </w:r>
      <w:r>
        <w:rPr>
          <w:rFonts w:ascii="仿宋_GB2312" w:eastAsia="仿宋_GB2312" w:hAnsi="仿宋_GB2312" w:cs="仿宋_GB2312" w:hint="eastAsia"/>
          <w:spacing w:val="4"/>
          <w:sz w:val="32"/>
          <w:szCs w:val="32"/>
          <w:lang w:eastAsia="zh-CN"/>
        </w:rPr>
        <w:t>攻关与改造、工艺优化与产品创新、新材料与新设备研发、</w:t>
      </w:r>
      <w:r>
        <w:rPr>
          <w:rFonts w:ascii="仿宋_GB2312" w:eastAsia="仿宋_GB2312" w:hAnsi="仿宋_GB2312" w:cs="仿宋_GB2312" w:hint="eastAsia"/>
          <w:spacing w:val="3"/>
          <w:sz w:val="32"/>
          <w:szCs w:val="32"/>
          <w:lang w:eastAsia="zh-CN"/>
        </w:rPr>
        <w:t>国际</w:t>
      </w:r>
      <w:r>
        <w:rPr>
          <w:rFonts w:ascii="仿宋_GB2312" w:eastAsia="仿宋_GB2312" w:hAnsi="仿宋_GB2312" w:cs="仿宋_GB2312" w:hint="eastAsia"/>
          <w:spacing w:val="7"/>
          <w:sz w:val="32"/>
          <w:szCs w:val="32"/>
          <w:lang w:eastAsia="zh-CN"/>
        </w:rPr>
        <w:t>先进技术引进吸收与再创新、工程设计与实施、技术标准的</w:t>
      </w:r>
      <w:r>
        <w:rPr>
          <w:rFonts w:ascii="仿宋_GB2312" w:eastAsia="仿宋_GB2312" w:hAnsi="仿宋_GB2312" w:cs="仿宋_GB2312" w:hint="eastAsia"/>
          <w:spacing w:val="6"/>
          <w:sz w:val="32"/>
          <w:szCs w:val="32"/>
          <w:lang w:eastAsia="zh-CN"/>
        </w:rPr>
        <w:t>制定与优化、原创性研究成果转化与产业化探索</w:t>
      </w:r>
      <w:r>
        <w:rPr>
          <w:rFonts w:ascii="仿宋_GB2312" w:eastAsia="仿宋_GB2312" w:hAnsi="仿宋_GB2312" w:cs="仿宋_GB2312" w:hint="eastAsia"/>
          <w:spacing w:val="5"/>
          <w:sz w:val="32"/>
          <w:szCs w:val="32"/>
          <w:lang w:eastAsia="zh-CN"/>
        </w:rPr>
        <w:t>等。</w:t>
      </w:r>
    </w:p>
    <w:p w14:paraId="01DAF3BF" w14:textId="77777777" w:rsidR="00AF43BD" w:rsidRDefault="00000000">
      <w:pPr>
        <w:pStyle w:val="a4"/>
        <w:spacing w:before="12" w:line="560" w:lineRule="exact"/>
        <w:ind w:left="30" w:right="91" w:firstLine="640"/>
        <w:jc w:val="both"/>
        <w:rPr>
          <w:rFonts w:ascii="仿宋_GB2312" w:eastAsia="仿宋_GB2312" w:hAnsi="仿宋_GB2312" w:cs="仿宋_GB2312" w:hint="eastAsia"/>
          <w:sz w:val="32"/>
          <w:szCs w:val="32"/>
          <w:lang w:eastAsia="zh-CN"/>
        </w:rPr>
      </w:pPr>
      <w:r>
        <w:rPr>
          <w:rFonts w:ascii="仿宋_GB2312" w:eastAsia="仿宋_GB2312" w:hAnsi="仿宋_GB2312" w:cs="仿宋_GB2312" w:hint="eastAsia"/>
          <w:spacing w:val="11"/>
          <w:sz w:val="32"/>
          <w:szCs w:val="32"/>
          <w:lang w:eastAsia="zh-CN"/>
        </w:rPr>
        <w:t>博士研究生须在完成课程学习和综合考核通过后，进行</w:t>
      </w:r>
      <w:r>
        <w:rPr>
          <w:rFonts w:ascii="仿宋_GB2312" w:eastAsia="仿宋_GB2312" w:hAnsi="仿宋_GB2312" w:cs="仿宋_GB2312" w:hint="eastAsia"/>
          <w:spacing w:val="7"/>
          <w:sz w:val="32"/>
          <w:szCs w:val="32"/>
          <w:lang w:eastAsia="zh-CN"/>
        </w:rPr>
        <w:t>学位论文开题工作，并提交开题报告。学位论文开题报告的</w:t>
      </w:r>
      <w:r>
        <w:rPr>
          <w:rFonts w:ascii="仿宋_GB2312" w:eastAsia="仿宋_GB2312" w:hAnsi="仿宋_GB2312" w:cs="仿宋_GB2312" w:hint="eastAsia"/>
          <w:spacing w:val="6"/>
          <w:sz w:val="32"/>
          <w:szCs w:val="32"/>
          <w:lang w:eastAsia="zh-CN"/>
        </w:rPr>
        <w:t>主要内容包括：选题来源及意义，国内外相关技术研究</w:t>
      </w:r>
      <w:r>
        <w:rPr>
          <w:rFonts w:ascii="仿宋_GB2312" w:eastAsia="仿宋_GB2312" w:hAnsi="仿宋_GB2312" w:cs="仿宋_GB2312" w:hint="eastAsia"/>
          <w:spacing w:val="5"/>
          <w:sz w:val="32"/>
          <w:szCs w:val="32"/>
          <w:lang w:eastAsia="zh-CN"/>
        </w:rPr>
        <w:t>、项</w:t>
      </w:r>
      <w:r>
        <w:rPr>
          <w:rFonts w:ascii="仿宋_GB2312" w:eastAsia="仿宋_GB2312" w:hAnsi="仿宋_GB2312" w:cs="仿宋_GB2312" w:hint="eastAsia"/>
          <w:spacing w:val="11"/>
          <w:sz w:val="32"/>
          <w:szCs w:val="32"/>
          <w:lang w:eastAsia="zh-CN"/>
        </w:rPr>
        <w:t>目设计实施或产品研发的现状分析，主要研究</w:t>
      </w:r>
      <w:r>
        <w:rPr>
          <w:rFonts w:ascii="仿宋_GB2312" w:eastAsia="仿宋_GB2312" w:hAnsi="仿宋_GB2312" w:cs="仿宋_GB2312" w:hint="eastAsia"/>
          <w:spacing w:val="10"/>
          <w:sz w:val="32"/>
          <w:szCs w:val="32"/>
          <w:lang w:eastAsia="zh-CN"/>
        </w:rPr>
        <w:t>内容和关键问</w:t>
      </w:r>
      <w:r>
        <w:rPr>
          <w:rFonts w:ascii="仿宋_GB2312" w:eastAsia="仿宋_GB2312" w:hAnsi="仿宋_GB2312" w:cs="仿宋_GB2312" w:hint="eastAsia"/>
          <w:spacing w:val="4"/>
          <w:sz w:val="32"/>
          <w:szCs w:val="32"/>
          <w:lang w:eastAsia="zh-CN"/>
        </w:rPr>
        <w:t>题，拟采取的技术路线、项目实施方案、可行性分</w:t>
      </w:r>
      <w:r>
        <w:rPr>
          <w:rFonts w:ascii="仿宋_GB2312" w:eastAsia="仿宋_GB2312" w:hAnsi="仿宋_GB2312" w:cs="仿宋_GB2312" w:hint="eastAsia"/>
          <w:spacing w:val="3"/>
          <w:sz w:val="32"/>
          <w:szCs w:val="32"/>
          <w:lang w:eastAsia="zh-CN"/>
        </w:rPr>
        <w:t>析，预期</w:t>
      </w:r>
      <w:r>
        <w:rPr>
          <w:rFonts w:ascii="仿宋_GB2312" w:eastAsia="仿宋_GB2312" w:hAnsi="仿宋_GB2312" w:cs="仿宋_GB2312" w:hint="eastAsia"/>
          <w:spacing w:val="5"/>
          <w:sz w:val="32"/>
          <w:szCs w:val="32"/>
          <w:lang w:eastAsia="zh-CN"/>
        </w:rPr>
        <w:t>成果以及工作进度安排等。开题报告评审专家组由至少3位本</w:t>
      </w:r>
      <w:r>
        <w:rPr>
          <w:rFonts w:ascii="仿宋_GB2312" w:eastAsia="仿宋_GB2312" w:hAnsi="仿宋_GB2312" w:cs="仿宋_GB2312" w:hint="eastAsia"/>
          <w:spacing w:val="12"/>
          <w:sz w:val="32"/>
          <w:szCs w:val="32"/>
          <w:lang w:eastAsia="zh-CN"/>
        </w:rPr>
        <w:t>专业领域具有博士研究生指导资格或具有正高级职称的专家</w:t>
      </w:r>
      <w:r>
        <w:rPr>
          <w:rFonts w:ascii="仿宋_GB2312" w:eastAsia="仿宋_GB2312" w:hAnsi="仿宋_GB2312" w:cs="仿宋_GB2312" w:hint="eastAsia"/>
          <w:spacing w:val="4"/>
          <w:sz w:val="32"/>
          <w:szCs w:val="32"/>
          <w:lang w:eastAsia="zh-CN"/>
        </w:rPr>
        <w:t>组成，其中至少有1位企业专家。</w:t>
      </w:r>
    </w:p>
    <w:p w14:paraId="47C5A6C0"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（2）学位论文中期考核</w:t>
      </w:r>
    </w:p>
    <w:p w14:paraId="049AEEB8"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博士研究生须在</w:t>
      </w:r>
      <w:r>
        <w:rPr>
          <w:rFonts w:ascii="仿宋_GB2312" w:eastAsia="仿宋_GB2312" w:hAnsi="仿宋_GB2312" w:cs="仿宋_GB2312" w:hint="eastAsia"/>
          <w:spacing w:val="11"/>
          <w:sz w:val="32"/>
          <w:szCs w:val="32"/>
          <w:lang w:eastAsia="zh-CN"/>
        </w:rPr>
        <w:t>完成学位论文开题，开展学位论文工作</w:t>
      </w:r>
      <w:r>
        <w:rPr>
          <w:rFonts w:ascii="仿宋_GB2312" w:eastAsia="仿宋_GB2312" w:hAnsi="仿宋_GB2312" w:cs="仿宋_GB2312" w:hint="eastAsia"/>
          <w:spacing w:val="4"/>
          <w:sz w:val="32"/>
          <w:szCs w:val="32"/>
          <w:lang w:eastAsia="zh-CN"/>
        </w:rPr>
        <w:t>一段时间后，进行学位论文中期考核，并提交中期考核报告。</w:t>
      </w:r>
      <w:r>
        <w:rPr>
          <w:rFonts w:ascii="仿宋_GB2312" w:eastAsia="仿宋_GB2312" w:hAnsi="仿宋_GB2312" w:cs="仿宋_GB2312" w:hint="eastAsia"/>
          <w:spacing w:val="10"/>
          <w:sz w:val="32"/>
          <w:szCs w:val="32"/>
          <w:lang w:eastAsia="zh-CN"/>
        </w:rPr>
        <w:lastRenderedPageBreak/>
        <w:t>学位论文中期考核报告的主要内容包括：学位论文工作进展情况，所取得的阶段性成果，对阶段性工作中存在</w:t>
      </w:r>
      <w:r>
        <w:rPr>
          <w:rFonts w:ascii="仿宋_GB2312" w:eastAsia="仿宋_GB2312" w:hAnsi="仿宋_GB2312" w:cs="仿宋_GB2312" w:hint="eastAsia"/>
          <w:spacing w:val="9"/>
          <w:sz w:val="32"/>
          <w:szCs w:val="32"/>
          <w:lang w:eastAsia="zh-CN"/>
        </w:rPr>
        <w:t>的主要问</w:t>
      </w:r>
      <w:r>
        <w:rPr>
          <w:rFonts w:ascii="仿宋_GB2312" w:eastAsia="仿宋_GB2312" w:hAnsi="仿宋_GB2312" w:cs="仿宋_GB2312" w:hint="eastAsia"/>
          <w:spacing w:val="11"/>
          <w:sz w:val="32"/>
          <w:szCs w:val="32"/>
          <w:lang w:eastAsia="zh-CN"/>
        </w:rPr>
        <w:t>题以及与开题报告内容不相符</w:t>
      </w:r>
      <w:r>
        <w:rPr>
          <w:rFonts w:ascii="仿宋_GB2312" w:eastAsia="仿宋_GB2312" w:hAnsi="仿宋_GB2312" w:cs="仿宋_GB2312" w:hint="eastAsia"/>
          <w:sz w:val="32"/>
          <w:szCs w:val="32"/>
          <w:lang w:eastAsia="zh-CN"/>
        </w:rPr>
        <w:t>的部分进行说明，并对下一阶段的研究内容和工作计划进行阐述。中期考核通过后，方可继续开展后续工作。</w:t>
      </w:r>
    </w:p>
    <w:p w14:paraId="46C4C097"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（3）学位论文预答辩</w:t>
      </w:r>
    </w:p>
    <w:p w14:paraId="051D4018"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学位论文预答辩是博士研究生完成既定学位论文工作，学位论文定稿之前的重要环节</w:t>
      </w:r>
      <w:r>
        <w:rPr>
          <w:rFonts w:ascii="仿宋_GB2312" w:eastAsia="仿宋_GB2312" w:hAnsi="仿宋_GB2312" w:cs="仿宋_GB2312" w:hint="eastAsia"/>
          <w:spacing w:val="10"/>
          <w:sz w:val="32"/>
          <w:szCs w:val="32"/>
          <w:lang w:eastAsia="zh-CN"/>
        </w:rPr>
        <w:t>，对进一步完善学位论文内容和提高学位论文质量具有重要作用。博士研究</w:t>
      </w:r>
      <w:r>
        <w:rPr>
          <w:rFonts w:ascii="仿宋_GB2312" w:eastAsia="仿宋_GB2312" w:hAnsi="仿宋_GB2312" w:cs="仿宋_GB2312" w:hint="eastAsia"/>
          <w:spacing w:val="9"/>
          <w:sz w:val="32"/>
          <w:szCs w:val="32"/>
          <w:lang w:eastAsia="zh-CN"/>
        </w:rPr>
        <w:t>生应在学校规</w:t>
      </w:r>
      <w:r>
        <w:rPr>
          <w:rFonts w:ascii="仿宋_GB2312" w:eastAsia="仿宋_GB2312" w:hAnsi="仿宋_GB2312" w:cs="仿宋_GB2312" w:hint="eastAsia"/>
          <w:spacing w:val="8"/>
          <w:sz w:val="32"/>
          <w:szCs w:val="32"/>
          <w:lang w:eastAsia="zh-CN"/>
        </w:rPr>
        <w:t>定的时间节点提出学位论文</w:t>
      </w:r>
      <w:r>
        <w:rPr>
          <w:rFonts w:ascii="仿宋_GB2312" w:eastAsia="仿宋_GB2312" w:hAnsi="仿宋_GB2312" w:cs="仿宋_GB2312" w:hint="eastAsia"/>
          <w:sz w:val="32"/>
          <w:szCs w:val="32"/>
          <w:lang w:eastAsia="zh-CN"/>
        </w:rPr>
        <w:t>预答辩申请。</w:t>
      </w:r>
    </w:p>
    <w:p w14:paraId="4E308706"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（4）学位论文学术和技术规范性检测</w:t>
      </w:r>
    </w:p>
    <w:p w14:paraId="36B8D4C3"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学位论文撰写应恪守科研和学术规范，严禁弄虚作假、抄袭剽窃。为加强学术道德</w:t>
      </w:r>
      <w:r>
        <w:rPr>
          <w:rFonts w:ascii="仿宋_GB2312" w:eastAsia="仿宋_GB2312" w:hAnsi="仿宋_GB2312" w:cs="仿宋_GB2312" w:hint="eastAsia"/>
          <w:spacing w:val="8"/>
          <w:sz w:val="32"/>
          <w:szCs w:val="32"/>
          <w:lang w:eastAsia="zh-CN"/>
        </w:rPr>
        <w:t>和学术规范建设，建立良好学术风尚，防范学术不端行为，保证学位论文质量，培养单</w:t>
      </w:r>
      <w:r>
        <w:rPr>
          <w:rFonts w:ascii="仿宋_GB2312" w:eastAsia="仿宋_GB2312" w:hAnsi="仿宋_GB2312" w:cs="仿宋_GB2312" w:hint="eastAsia"/>
          <w:spacing w:val="7"/>
          <w:sz w:val="32"/>
          <w:szCs w:val="32"/>
          <w:lang w:eastAsia="zh-CN"/>
        </w:rPr>
        <w:t>位须对拟申请学位论文答辩的所有学位论文进行学术规范性</w:t>
      </w:r>
      <w:r>
        <w:rPr>
          <w:rFonts w:ascii="仿宋_GB2312" w:eastAsia="仿宋_GB2312" w:hAnsi="仿宋_GB2312" w:cs="仿宋_GB2312" w:hint="eastAsia"/>
          <w:spacing w:val="6"/>
          <w:sz w:val="32"/>
          <w:szCs w:val="32"/>
          <w:lang w:eastAsia="zh-CN"/>
        </w:rPr>
        <w:t>检测。</w:t>
      </w:r>
      <w:r>
        <w:rPr>
          <w:rFonts w:ascii="仿宋_GB2312" w:eastAsia="仿宋_GB2312" w:hAnsi="仿宋_GB2312" w:cs="仿宋_GB2312" w:hint="eastAsia"/>
          <w:spacing w:val="13"/>
          <w:sz w:val="32"/>
          <w:szCs w:val="32"/>
          <w:lang w:eastAsia="zh-CN"/>
        </w:rPr>
        <w:t>对于涉嫌存在学位论文弄虚作假</w:t>
      </w:r>
      <w:r>
        <w:rPr>
          <w:rFonts w:ascii="仿宋_GB2312" w:eastAsia="仿宋_GB2312" w:hAnsi="仿宋_GB2312" w:cs="仿宋_GB2312" w:hint="eastAsia"/>
          <w:sz w:val="32"/>
          <w:szCs w:val="32"/>
          <w:lang w:eastAsia="zh-CN"/>
        </w:rPr>
        <w:t>行为的作者按照有关规定进行界定和处理。</w:t>
      </w:r>
    </w:p>
    <w:p w14:paraId="6BC6FFAC"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2.申请学位实践成果</w:t>
      </w:r>
    </w:p>
    <w:p w14:paraId="4C4B6A96"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pacing w:val="5"/>
          <w:sz w:val="32"/>
          <w:szCs w:val="32"/>
          <w:lang w:eastAsia="zh-CN"/>
        </w:rPr>
      </w:pPr>
      <w:r>
        <w:rPr>
          <w:rFonts w:ascii="仿宋_GB2312" w:eastAsia="仿宋_GB2312" w:hAnsi="仿宋_GB2312" w:cs="仿宋_GB2312" w:hint="eastAsia"/>
          <w:sz w:val="32"/>
          <w:szCs w:val="32"/>
          <w:lang w:eastAsia="zh-CN"/>
        </w:rPr>
        <w:t>申请学位实践成果应聚焦工程实际需求，主要以实体或工程形象展示形式呈</w:t>
      </w:r>
      <w:r>
        <w:rPr>
          <w:rFonts w:ascii="仿宋_GB2312" w:eastAsia="仿宋_GB2312" w:hAnsi="仿宋_GB2312" w:cs="仿宋_GB2312" w:hint="eastAsia"/>
          <w:spacing w:val="4"/>
          <w:sz w:val="32"/>
          <w:szCs w:val="32"/>
          <w:lang w:eastAsia="zh-CN"/>
        </w:rPr>
        <w:t>现，须体现工程性、创新性、实践性、</w:t>
      </w:r>
      <w:r>
        <w:rPr>
          <w:rFonts w:ascii="仿宋_GB2312" w:eastAsia="仿宋_GB2312" w:hAnsi="仿宋_GB2312" w:cs="仿宋_GB2312" w:hint="eastAsia"/>
          <w:spacing w:val="11"/>
          <w:sz w:val="32"/>
          <w:szCs w:val="32"/>
          <w:lang w:eastAsia="zh-CN"/>
        </w:rPr>
        <w:t>应用性和可展示性等特征，体现学位申请人具备独立承担本</w:t>
      </w:r>
      <w:r>
        <w:rPr>
          <w:rFonts w:ascii="仿宋_GB2312" w:eastAsia="仿宋_GB2312" w:hAnsi="仿宋_GB2312" w:cs="仿宋_GB2312" w:hint="eastAsia"/>
          <w:spacing w:val="9"/>
          <w:sz w:val="32"/>
          <w:szCs w:val="32"/>
          <w:lang w:eastAsia="zh-CN"/>
        </w:rPr>
        <w:t>专业领域实践工作的能力，在本专业领域做出创新性成果，对推动行业和本专业领域工程技术进步做出重要贡献。通过</w:t>
      </w:r>
      <w:r>
        <w:rPr>
          <w:rFonts w:ascii="仿宋_GB2312" w:eastAsia="仿宋_GB2312" w:hAnsi="仿宋_GB2312" w:cs="仿宋_GB2312" w:hint="eastAsia"/>
          <w:spacing w:val="11"/>
          <w:sz w:val="32"/>
          <w:szCs w:val="32"/>
          <w:lang w:eastAsia="zh-CN"/>
        </w:rPr>
        <w:t>实践成果申请学位，应包括可展示实体形式和实践成果</w:t>
      </w:r>
      <w:r>
        <w:rPr>
          <w:rFonts w:ascii="仿宋_GB2312" w:eastAsia="仿宋_GB2312" w:hAnsi="仿宋_GB2312" w:cs="仿宋_GB2312" w:hint="eastAsia"/>
          <w:spacing w:val="10"/>
          <w:sz w:val="32"/>
          <w:szCs w:val="32"/>
          <w:lang w:eastAsia="zh-CN"/>
        </w:rPr>
        <w:t>总结</w:t>
      </w:r>
      <w:r>
        <w:rPr>
          <w:rFonts w:ascii="仿宋_GB2312" w:eastAsia="仿宋_GB2312" w:hAnsi="仿宋_GB2312" w:cs="仿宋_GB2312" w:hint="eastAsia"/>
          <w:spacing w:val="5"/>
          <w:sz w:val="32"/>
          <w:szCs w:val="32"/>
          <w:lang w:eastAsia="zh-CN"/>
        </w:rPr>
        <w:t>报告书面形式。</w:t>
      </w:r>
    </w:p>
    <w:p w14:paraId="0444D523" w14:textId="77777777" w:rsidR="00AF43BD" w:rsidRDefault="00000000">
      <w:pPr>
        <w:widowControl w:val="0"/>
        <w:kinsoku/>
        <w:autoSpaceDE/>
        <w:autoSpaceDN/>
        <w:spacing w:line="560" w:lineRule="exact"/>
        <w:ind w:firstLineChars="200" w:firstLine="652"/>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pacing w:val="6"/>
          <w:sz w:val="32"/>
          <w:szCs w:val="32"/>
          <w:lang w:eastAsia="zh-CN"/>
        </w:rPr>
        <w:lastRenderedPageBreak/>
        <w:t>申请学位实践成果工作主要包括可行性论证报告、中期</w:t>
      </w:r>
      <w:r>
        <w:rPr>
          <w:rFonts w:ascii="仿宋_GB2312" w:eastAsia="仿宋_GB2312" w:hAnsi="仿宋_GB2312" w:cs="仿宋_GB2312" w:hint="eastAsia"/>
          <w:spacing w:val="4"/>
          <w:sz w:val="32"/>
          <w:szCs w:val="32"/>
          <w:lang w:eastAsia="zh-CN"/>
        </w:rPr>
        <w:t>考核、成果总结鉴定、成果总结报告、学术和技术规范性检测、评审和答辩等环节</w:t>
      </w:r>
      <w:r>
        <w:rPr>
          <w:rFonts w:ascii="仿宋_GB2312" w:eastAsia="仿宋_GB2312" w:hAnsi="仿宋_GB2312" w:cs="仿宋_GB2312" w:hint="eastAsia"/>
          <w:sz w:val="32"/>
          <w:szCs w:val="32"/>
          <w:lang w:eastAsia="zh-CN"/>
        </w:rPr>
        <w:t>。</w:t>
      </w:r>
    </w:p>
    <w:p w14:paraId="5FB14E9E"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（1）申请学位实践成果可行性论证报告</w:t>
      </w:r>
    </w:p>
    <w:p w14:paraId="3021F85D"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可行性论证是申请学位实践成果实施的起点，旨在明确实践成果的选题来源、</w:t>
      </w:r>
      <w:r>
        <w:rPr>
          <w:rFonts w:ascii="仿宋_GB2312" w:eastAsia="仿宋_GB2312" w:hAnsi="仿宋_GB2312" w:cs="仿宋_GB2312" w:hint="eastAsia"/>
          <w:spacing w:val="5"/>
          <w:sz w:val="32"/>
          <w:szCs w:val="32"/>
          <w:lang w:eastAsia="zh-CN"/>
        </w:rPr>
        <w:t>主要内容、技术创新和预期成</w:t>
      </w:r>
      <w:r>
        <w:rPr>
          <w:rFonts w:ascii="仿宋_GB2312" w:eastAsia="仿宋_GB2312" w:hAnsi="仿宋_GB2312" w:cs="仿宋_GB2312" w:hint="eastAsia"/>
          <w:spacing w:val="4"/>
          <w:sz w:val="32"/>
          <w:szCs w:val="32"/>
          <w:lang w:eastAsia="zh-CN"/>
        </w:rPr>
        <w:t>效，重</w:t>
      </w:r>
      <w:r>
        <w:rPr>
          <w:rFonts w:ascii="仿宋_GB2312" w:eastAsia="仿宋_GB2312" w:hAnsi="仿宋_GB2312" w:cs="仿宋_GB2312" w:hint="eastAsia"/>
          <w:spacing w:val="7"/>
          <w:sz w:val="32"/>
          <w:szCs w:val="32"/>
          <w:lang w:eastAsia="zh-CN"/>
        </w:rPr>
        <w:t>点关注实践成果实施的可行性、关键技术的创新性、推广应</w:t>
      </w:r>
      <w:r>
        <w:rPr>
          <w:rFonts w:ascii="仿宋_GB2312" w:eastAsia="仿宋_GB2312" w:hAnsi="仿宋_GB2312" w:cs="仿宋_GB2312" w:hint="eastAsia"/>
          <w:spacing w:val="10"/>
          <w:sz w:val="32"/>
          <w:szCs w:val="32"/>
          <w:lang w:eastAsia="zh-CN"/>
        </w:rPr>
        <w:t>用成效和影响力，以及能否达到申请博士</w:t>
      </w:r>
      <w:r>
        <w:rPr>
          <w:rFonts w:ascii="仿宋_GB2312" w:eastAsia="仿宋_GB2312" w:hAnsi="仿宋_GB2312" w:cs="仿宋_GB2312" w:hint="eastAsia"/>
          <w:spacing w:val="9"/>
          <w:sz w:val="32"/>
          <w:szCs w:val="32"/>
          <w:lang w:eastAsia="zh-CN"/>
        </w:rPr>
        <w:t>学位的基本要</w:t>
      </w:r>
      <w:r>
        <w:rPr>
          <w:rFonts w:ascii="仿宋_GB2312" w:eastAsia="仿宋_GB2312" w:hAnsi="仿宋_GB2312" w:cs="仿宋_GB2312" w:hint="eastAsia"/>
          <w:spacing w:val="5"/>
          <w:sz w:val="32"/>
          <w:szCs w:val="32"/>
          <w:lang w:eastAsia="zh-CN"/>
        </w:rPr>
        <w:t>求等。申请学位实践成果实体形式主要包括（但</w:t>
      </w:r>
      <w:r>
        <w:rPr>
          <w:rFonts w:ascii="仿宋_GB2312" w:eastAsia="仿宋_GB2312" w:hAnsi="仿宋_GB2312" w:cs="仿宋_GB2312" w:hint="eastAsia"/>
          <w:spacing w:val="4"/>
          <w:sz w:val="32"/>
          <w:szCs w:val="32"/>
          <w:lang w:eastAsia="zh-CN"/>
        </w:rPr>
        <w:t>不仅限于</w:t>
      </w:r>
      <w:r>
        <w:rPr>
          <w:rFonts w:ascii="仿宋_GB2312" w:eastAsia="仿宋_GB2312" w:hAnsi="仿宋_GB2312" w:cs="仿宋_GB2312" w:hint="eastAsia"/>
          <w:spacing w:val="-78"/>
          <w:w w:val="90"/>
          <w:sz w:val="32"/>
          <w:szCs w:val="32"/>
          <w:lang w:eastAsia="zh-CN"/>
        </w:rPr>
        <w:t>）：</w:t>
      </w:r>
      <w:r>
        <w:rPr>
          <w:rFonts w:ascii="仿宋_GB2312" w:eastAsia="仿宋_GB2312" w:hAnsi="仿宋_GB2312" w:cs="仿宋_GB2312" w:hint="eastAsia"/>
          <w:spacing w:val="3"/>
          <w:sz w:val="32"/>
          <w:szCs w:val="32"/>
          <w:lang w:eastAsia="zh-CN"/>
        </w:rPr>
        <w:t>重大装备、仪器设备、原理样机、软件和硬件</w:t>
      </w:r>
      <w:r>
        <w:rPr>
          <w:rFonts w:ascii="仿宋_GB2312" w:eastAsia="仿宋_GB2312" w:hAnsi="仿宋_GB2312" w:cs="仿宋_GB2312" w:hint="eastAsia"/>
          <w:spacing w:val="2"/>
          <w:sz w:val="32"/>
          <w:szCs w:val="32"/>
          <w:lang w:eastAsia="zh-CN"/>
        </w:rPr>
        <w:t>产品、技术标</w:t>
      </w:r>
      <w:r>
        <w:rPr>
          <w:rFonts w:ascii="仿宋_GB2312" w:eastAsia="仿宋_GB2312" w:hAnsi="仿宋_GB2312" w:cs="仿宋_GB2312" w:hint="eastAsia"/>
          <w:spacing w:val="7"/>
          <w:sz w:val="32"/>
          <w:szCs w:val="32"/>
          <w:lang w:eastAsia="zh-CN"/>
        </w:rPr>
        <w:t>准、其他体现本专业领域特色的同等水平的实践成果。</w:t>
      </w:r>
    </w:p>
    <w:p w14:paraId="2241D005" w14:textId="77777777" w:rsidR="00AF43BD" w:rsidRDefault="00000000">
      <w:pPr>
        <w:widowControl w:val="0"/>
        <w:kinsoku/>
        <w:autoSpaceDE/>
        <w:autoSpaceDN/>
        <w:spacing w:line="560" w:lineRule="exact"/>
        <w:ind w:firstLineChars="200" w:firstLine="662"/>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pacing w:val="11"/>
          <w:sz w:val="32"/>
          <w:szCs w:val="32"/>
          <w:lang w:eastAsia="zh-CN"/>
        </w:rPr>
        <w:t>博士研究生须在完成课程学习和综合考核通过后，进行</w:t>
      </w:r>
      <w:r>
        <w:rPr>
          <w:rFonts w:ascii="仿宋_GB2312" w:eastAsia="仿宋_GB2312" w:hAnsi="仿宋_GB2312" w:cs="仿宋_GB2312" w:hint="eastAsia"/>
          <w:spacing w:val="4"/>
          <w:sz w:val="32"/>
          <w:szCs w:val="32"/>
          <w:lang w:eastAsia="zh-CN"/>
        </w:rPr>
        <w:t>申请学位实践成果可行性论证工作，并提交可行性论证报告。</w:t>
      </w:r>
      <w:r>
        <w:rPr>
          <w:rFonts w:ascii="仿宋_GB2312" w:eastAsia="仿宋_GB2312" w:hAnsi="仿宋_GB2312" w:cs="仿宋_GB2312" w:hint="eastAsia"/>
          <w:spacing w:val="10"/>
          <w:sz w:val="32"/>
          <w:szCs w:val="32"/>
          <w:lang w:eastAsia="zh-CN"/>
        </w:rPr>
        <w:t>实践成果可行性论证报告的主要内容包括：工程背景的深度</w:t>
      </w:r>
      <w:r>
        <w:rPr>
          <w:rFonts w:ascii="仿宋_GB2312" w:eastAsia="仿宋_GB2312" w:hAnsi="仿宋_GB2312" w:cs="仿宋_GB2312" w:hint="eastAsia"/>
          <w:spacing w:val="7"/>
          <w:sz w:val="32"/>
          <w:szCs w:val="32"/>
          <w:lang w:eastAsia="zh-CN"/>
        </w:rPr>
        <w:t>分析、国内外技术发展现状的系统梳理、精准的需求分析、</w:t>
      </w:r>
      <w:r>
        <w:rPr>
          <w:rFonts w:ascii="仿宋_GB2312" w:eastAsia="仿宋_GB2312" w:hAnsi="仿宋_GB2312" w:cs="仿宋_GB2312" w:hint="eastAsia"/>
          <w:spacing w:val="10"/>
          <w:sz w:val="32"/>
          <w:szCs w:val="32"/>
          <w:lang w:eastAsia="zh-CN"/>
        </w:rPr>
        <w:t>科学合理的研究方法阐述，以及预期应用效益的</w:t>
      </w:r>
      <w:r>
        <w:rPr>
          <w:rFonts w:ascii="仿宋_GB2312" w:eastAsia="仿宋_GB2312" w:hAnsi="仿宋_GB2312" w:cs="仿宋_GB2312" w:hint="eastAsia"/>
          <w:spacing w:val="9"/>
          <w:sz w:val="32"/>
          <w:szCs w:val="32"/>
          <w:lang w:eastAsia="zh-CN"/>
        </w:rPr>
        <w:t>前瞻性评估</w:t>
      </w:r>
      <w:r>
        <w:rPr>
          <w:rFonts w:ascii="仿宋_GB2312" w:eastAsia="仿宋_GB2312" w:hAnsi="仿宋_GB2312" w:cs="仿宋_GB2312" w:hint="eastAsia"/>
          <w:spacing w:val="5"/>
          <w:sz w:val="32"/>
          <w:szCs w:val="32"/>
          <w:lang w:eastAsia="zh-CN"/>
        </w:rPr>
        <w:t>等方面。申请学位实践成果可行性论证评审专家组由至少3位</w:t>
      </w:r>
      <w:r>
        <w:rPr>
          <w:rFonts w:ascii="仿宋_GB2312" w:eastAsia="仿宋_GB2312" w:hAnsi="仿宋_GB2312" w:cs="仿宋_GB2312" w:hint="eastAsia"/>
          <w:spacing w:val="13"/>
          <w:sz w:val="32"/>
          <w:szCs w:val="32"/>
          <w:lang w:eastAsia="zh-CN"/>
        </w:rPr>
        <w:t>本专业领域具有博士研究生指导资格或具</w:t>
      </w:r>
      <w:r>
        <w:rPr>
          <w:rFonts w:ascii="仿宋_GB2312" w:eastAsia="仿宋_GB2312" w:hAnsi="仿宋_GB2312" w:cs="仿宋_GB2312" w:hint="eastAsia"/>
          <w:sz w:val="32"/>
          <w:szCs w:val="32"/>
          <w:lang w:eastAsia="zh-CN"/>
        </w:rPr>
        <w:t>有正高级职称的专家组成，其中至少有1位企业专家。</w:t>
      </w:r>
    </w:p>
    <w:p w14:paraId="51D60730"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（2）实践成果中期考核</w:t>
      </w:r>
    </w:p>
    <w:p w14:paraId="1ADE9F32"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pacing w:val="13"/>
          <w:sz w:val="32"/>
          <w:szCs w:val="32"/>
          <w:lang w:eastAsia="zh-CN"/>
        </w:rPr>
      </w:pPr>
      <w:r>
        <w:rPr>
          <w:rFonts w:ascii="仿宋_GB2312" w:eastAsia="仿宋_GB2312" w:hAnsi="仿宋_GB2312" w:cs="仿宋_GB2312" w:hint="eastAsia"/>
          <w:sz w:val="32"/>
          <w:szCs w:val="32"/>
          <w:lang w:eastAsia="zh-CN"/>
        </w:rPr>
        <w:t>博士研究生须在完成实践成果可行性论证，并实施一段时间后，进行实践成果中期考核，并提交中期考核报告。实践成果中期考核报告的主要内容包括：实践成果实施以来的进展情况、已取得的阶段性成果</w:t>
      </w:r>
      <w:r>
        <w:rPr>
          <w:rFonts w:ascii="仿宋_GB2312" w:eastAsia="仿宋_GB2312" w:hAnsi="仿宋_GB2312" w:cs="仿宋_GB2312" w:hint="eastAsia"/>
          <w:spacing w:val="13"/>
          <w:sz w:val="32"/>
          <w:szCs w:val="32"/>
          <w:lang w:eastAsia="zh-CN"/>
        </w:rPr>
        <w:t>、实施过程中需要调整的内容、下一步工作计划与预期成效等。实践成果中期考核通过后，方</w:t>
      </w:r>
      <w:r>
        <w:rPr>
          <w:rFonts w:ascii="仿宋_GB2312" w:eastAsia="仿宋_GB2312" w:hAnsi="仿宋_GB2312" w:cs="仿宋_GB2312" w:hint="eastAsia"/>
          <w:spacing w:val="13"/>
          <w:sz w:val="32"/>
          <w:szCs w:val="32"/>
          <w:lang w:eastAsia="zh-CN"/>
        </w:rPr>
        <w:lastRenderedPageBreak/>
        <w:t>可继续开展后续工作。</w:t>
      </w:r>
    </w:p>
    <w:p w14:paraId="698E0413" w14:textId="77777777" w:rsidR="00AF43BD" w:rsidRDefault="00000000">
      <w:pPr>
        <w:widowControl w:val="0"/>
        <w:kinsoku/>
        <w:autoSpaceDE/>
        <w:autoSpaceDN/>
        <w:spacing w:line="560" w:lineRule="exact"/>
        <w:ind w:firstLineChars="200" w:firstLine="666"/>
        <w:jc w:val="both"/>
        <w:textAlignment w:val="auto"/>
        <w:outlineLvl w:val="0"/>
        <w:rPr>
          <w:rFonts w:ascii="仿宋_GB2312" w:eastAsia="仿宋_GB2312" w:hAnsi="仿宋_GB2312" w:cs="仿宋_GB2312" w:hint="eastAsia"/>
          <w:spacing w:val="13"/>
          <w:sz w:val="32"/>
          <w:szCs w:val="32"/>
          <w:lang w:eastAsia="zh-CN"/>
        </w:rPr>
      </w:pPr>
      <w:r>
        <w:rPr>
          <w:rFonts w:ascii="仿宋_GB2312" w:eastAsia="仿宋_GB2312" w:hAnsi="仿宋_GB2312" w:cs="仿宋_GB2312" w:hint="eastAsia"/>
          <w:spacing w:val="13"/>
          <w:sz w:val="32"/>
          <w:szCs w:val="32"/>
          <w:lang w:eastAsia="zh-CN"/>
        </w:rPr>
        <w:t>（3）实践成果总结鉴定</w:t>
      </w:r>
    </w:p>
    <w:p w14:paraId="083F2E9D" w14:textId="77777777" w:rsidR="00AF43BD" w:rsidRDefault="00000000">
      <w:pPr>
        <w:widowControl w:val="0"/>
        <w:kinsoku/>
        <w:autoSpaceDE/>
        <w:autoSpaceDN/>
        <w:spacing w:line="560" w:lineRule="exact"/>
        <w:ind w:firstLineChars="200" w:firstLine="666"/>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pacing w:val="13"/>
          <w:sz w:val="32"/>
          <w:szCs w:val="32"/>
          <w:lang w:eastAsia="zh-CN"/>
        </w:rPr>
        <w:t>实践成果实施完成后，应进行实践成果总结鉴定，这是检验实践成果质量的关键环节。总结鉴定的主要内容包括实践成果实体形式和总结报告书面形</w:t>
      </w:r>
      <w:r>
        <w:rPr>
          <w:rFonts w:ascii="仿宋_GB2312" w:eastAsia="仿宋_GB2312" w:hAnsi="仿宋_GB2312" w:cs="仿宋_GB2312" w:hint="eastAsia"/>
          <w:spacing w:val="9"/>
          <w:sz w:val="32"/>
          <w:szCs w:val="32"/>
          <w:lang w:eastAsia="zh-CN"/>
        </w:rPr>
        <w:t>式。实践成果总结报告是</w:t>
      </w:r>
      <w:r>
        <w:rPr>
          <w:rFonts w:ascii="仿宋_GB2312" w:eastAsia="仿宋_GB2312" w:hAnsi="仿宋_GB2312" w:cs="仿宋_GB2312" w:hint="eastAsia"/>
          <w:spacing w:val="7"/>
          <w:sz w:val="32"/>
          <w:szCs w:val="32"/>
          <w:lang w:eastAsia="zh-CN"/>
        </w:rPr>
        <w:t>实体成果的补充，应详细描述实践成果的来源、创新性、影响力及其在应用中的经济效益、社会效益和</w:t>
      </w:r>
      <w:r>
        <w:rPr>
          <w:rFonts w:ascii="仿宋_GB2312" w:eastAsia="仿宋_GB2312" w:hAnsi="仿宋_GB2312" w:cs="仿宋_GB2312" w:hint="eastAsia"/>
          <w:spacing w:val="6"/>
          <w:sz w:val="32"/>
          <w:szCs w:val="32"/>
          <w:lang w:eastAsia="zh-CN"/>
        </w:rPr>
        <w:t>知识产权情况，</w:t>
      </w:r>
      <w:r>
        <w:rPr>
          <w:rFonts w:ascii="仿宋_GB2312" w:eastAsia="仿宋_GB2312" w:hAnsi="仿宋_GB2312" w:cs="仿宋_GB2312" w:hint="eastAsia"/>
          <w:spacing w:val="5"/>
          <w:sz w:val="32"/>
          <w:szCs w:val="32"/>
          <w:lang w:eastAsia="zh-CN"/>
        </w:rPr>
        <w:t>以全面反映实践成果的成效和价值。</w:t>
      </w:r>
    </w:p>
    <w:p w14:paraId="7AEBEB1D" w14:textId="77777777" w:rsidR="00AF43BD" w:rsidRDefault="00000000">
      <w:pPr>
        <w:pStyle w:val="a4"/>
        <w:spacing w:before="9" w:line="560" w:lineRule="exact"/>
        <w:ind w:left="23" w:right="158" w:firstLine="687"/>
        <w:jc w:val="both"/>
        <w:rPr>
          <w:rFonts w:ascii="仿宋_GB2312" w:eastAsia="仿宋_GB2312" w:hAnsi="仿宋_GB2312" w:cs="仿宋_GB2312" w:hint="eastAsia"/>
          <w:sz w:val="32"/>
          <w:szCs w:val="32"/>
          <w:lang w:eastAsia="zh-CN"/>
        </w:rPr>
      </w:pPr>
      <w:r>
        <w:rPr>
          <w:rFonts w:ascii="仿宋_GB2312" w:eastAsia="仿宋_GB2312" w:hAnsi="仿宋_GB2312" w:cs="仿宋_GB2312" w:hint="eastAsia"/>
          <w:spacing w:val="11"/>
          <w:sz w:val="32"/>
          <w:szCs w:val="32"/>
          <w:lang w:eastAsia="zh-CN"/>
        </w:rPr>
        <w:t>由研究生所在二级单位学位评定分委员会组织成果鉴定</w:t>
      </w:r>
      <w:r>
        <w:rPr>
          <w:rFonts w:ascii="仿宋_GB2312" w:eastAsia="仿宋_GB2312" w:hAnsi="仿宋_GB2312" w:cs="仿宋_GB2312" w:hint="eastAsia"/>
          <w:spacing w:val="5"/>
          <w:sz w:val="32"/>
          <w:szCs w:val="32"/>
          <w:lang w:eastAsia="zh-CN"/>
        </w:rPr>
        <w:t>专家组，对实践成果的先进性、功能和性能指标、创新性、</w:t>
      </w:r>
      <w:r>
        <w:rPr>
          <w:rFonts w:ascii="仿宋_GB2312" w:eastAsia="仿宋_GB2312" w:hAnsi="仿宋_GB2312" w:cs="仿宋_GB2312" w:hint="eastAsia"/>
          <w:spacing w:val="8"/>
          <w:sz w:val="32"/>
          <w:szCs w:val="32"/>
          <w:lang w:eastAsia="zh-CN"/>
        </w:rPr>
        <w:t>应用成效及推广价值等进行鉴定，并出具成果鉴定意见。成</w:t>
      </w:r>
      <w:r>
        <w:rPr>
          <w:rFonts w:ascii="仿宋_GB2312" w:eastAsia="仿宋_GB2312" w:hAnsi="仿宋_GB2312" w:cs="仿宋_GB2312" w:hint="eastAsia"/>
          <w:spacing w:val="18"/>
          <w:sz w:val="32"/>
          <w:szCs w:val="32"/>
          <w:lang w:eastAsia="zh-CN"/>
        </w:rPr>
        <w:t>果总结鉴定评审专家组由至少3位本专业领</w:t>
      </w:r>
      <w:r>
        <w:rPr>
          <w:rFonts w:ascii="仿宋_GB2312" w:eastAsia="仿宋_GB2312" w:hAnsi="仿宋_GB2312" w:cs="仿宋_GB2312" w:hint="eastAsia"/>
          <w:spacing w:val="17"/>
          <w:sz w:val="32"/>
          <w:szCs w:val="32"/>
          <w:lang w:eastAsia="zh-CN"/>
        </w:rPr>
        <w:t>域具有博士研究</w:t>
      </w:r>
      <w:r>
        <w:rPr>
          <w:rFonts w:ascii="仿宋_GB2312" w:eastAsia="仿宋_GB2312" w:hAnsi="仿宋_GB2312" w:cs="仿宋_GB2312" w:hint="eastAsia"/>
          <w:spacing w:val="5"/>
          <w:sz w:val="32"/>
          <w:szCs w:val="32"/>
          <w:lang w:eastAsia="zh-CN"/>
        </w:rPr>
        <w:t>生指导资格或具有正高级职称的专家组成，其中至少有1位企</w:t>
      </w:r>
      <w:r>
        <w:rPr>
          <w:rFonts w:ascii="仿宋_GB2312" w:eastAsia="仿宋_GB2312" w:hAnsi="仿宋_GB2312" w:cs="仿宋_GB2312" w:hint="eastAsia"/>
          <w:spacing w:val="4"/>
          <w:sz w:val="32"/>
          <w:szCs w:val="32"/>
          <w:lang w:eastAsia="zh-CN"/>
        </w:rPr>
        <w:t>业专家。</w:t>
      </w:r>
    </w:p>
    <w:p w14:paraId="47A7AC93" w14:textId="77777777" w:rsidR="00AF43BD" w:rsidRDefault="00000000">
      <w:pPr>
        <w:widowControl w:val="0"/>
        <w:kinsoku/>
        <w:autoSpaceDE/>
        <w:autoSpaceDN/>
        <w:spacing w:line="560" w:lineRule="exact"/>
        <w:ind w:firstLineChars="200" w:firstLine="666"/>
        <w:jc w:val="both"/>
        <w:textAlignment w:val="auto"/>
        <w:outlineLvl w:val="0"/>
        <w:rPr>
          <w:rFonts w:ascii="仿宋_GB2312" w:eastAsia="仿宋_GB2312" w:hAnsi="仿宋_GB2312" w:cs="仿宋_GB2312" w:hint="eastAsia"/>
          <w:spacing w:val="13"/>
          <w:sz w:val="32"/>
          <w:szCs w:val="32"/>
          <w:lang w:eastAsia="zh-CN"/>
        </w:rPr>
      </w:pPr>
      <w:r>
        <w:rPr>
          <w:rFonts w:ascii="仿宋_GB2312" w:eastAsia="仿宋_GB2312" w:hAnsi="仿宋_GB2312" w:cs="仿宋_GB2312" w:hint="eastAsia"/>
          <w:spacing w:val="13"/>
          <w:sz w:val="32"/>
          <w:szCs w:val="32"/>
          <w:lang w:eastAsia="zh-CN"/>
        </w:rPr>
        <w:t>（4）实践成果总结报告学术和技术规范性检测</w:t>
      </w:r>
    </w:p>
    <w:p w14:paraId="069452C1" w14:textId="77777777" w:rsidR="00AF43BD" w:rsidRDefault="00000000">
      <w:pPr>
        <w:widowControl w:val="0"/>
        <w:kinsoku/>
        <w:autoSpaceDE/>
        <w:autoSpaceDN/>
        <w:spacing w:line="560" w:lineRule="exact"/>
        <w:ind w:firstLineChars="200" w:firstLine="666"/>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pacing w:val="13"/>
          <w:sz w:val="32"/>
          <w:szCs w:val="32"/>
          <w:lang w:eastAsia="zh-CN"/>
        </w:rPr>
        <w:t>实践成果总结报告撰写应恪守学术和技术规范，严禁弄虚作假、抄袭剽窃。为</w:t>
      </w:r>
      <w:r>
        <w:rPr>
          <w:rFonts w:ascii="仿宋_GB2312" w:eastAsia="仿宋_GB2312" w:hAnsi="仿宋_GB2312" w:cs="仿宋_GB2312" w:hint="eastAsia"/>
          <w:spacing w:val="6"/>
          <w:sz w:val="32"/>
          <w:szCs w:val="32"/>
          <w:lang w:eastAsia="zh-CN"/>
        </w:rPr>
        <w:t>加强学术道德和学术规范建设，建立</w:t>
      </w:r>
      <w:r>
        <w:rPr>
          <w:rFonts w:ascii="仿宋_GB2312" w:eastAsia="仿宋_GB2312" w:hAnsi="仿宋_GB2312" w:cs="仿宋_GB2312" w:hint="eastAsia"/>
          <w:spacing w:val="8"/>
          <w:sz w:val="32"/>
          <w:szCs w:val="32"/>
          <w:lang w:eastAsia="zh-CN"/>
        </w:rPr>
        <w:t>良好学术风尚，防范学术不端行为，保证实践成果质量，培</w:t>
      </w:r>
      <w:r>
        <w:rPr>
          <w:rFonts w:ascii="仿宋_GB2312" w:eastAsia="仿宋_GB2312" w:hAnsi="仿宋_GB2312" w:cs="仿宋_GB2312" w:hint="eastAsia"/>
          <w:spacing w:val="13"/>
          <w:sz w:val="32"/>
          <w:szCs w:val="32"/>
          <w:lang w:eastAsia="zh-CN"/>
        </w:rPr>
        <w:t>养单位须对拟申请学位的实践成果总结报告进行学</w:t>
      </w:r>
      <w:r>
        <w:rPr>
          <w:rFonts w:ascii="仿宋_GB2312" w:eastAsia="仿宋_GB2312" w:hAnsi="仿宋_GB2312" w:cs="仿宋_GB2312" w:hint="eastAsia"/>
          <w:spacing w:val="12"/>
          <w:sz w:val="32"/>
          <w:szCs w:val="32"/>
          <w:lang w:eastAsia="zh-CN"/>
        </w:rPr>
        <w:t>术和技术</w:t>
      </w:r>
      <w:r>
        <w:rPr>
          <w:rFonts w:ascii="仿宋_GB2312" w:eastAsia="仿宋_GB2312" w:hAnsi="仿宋_GB2312" w:cs="仿宋_GB2312" w:hint="eastAsia"/>
          <w:spacing w:val="10"/>
          <w:sz w:val="32"/>
          <w:szCs w:val="32"/>
          <w:lang w:eastAsia="zh-CN"/>
        </w:rPr>
        <w:t>规范性检测。对于涉嫌存在弄虚作假行为的作者按照有关规</w:t>
      </w:r>
      <w:r>
        <w:rPr>
          <w:rFonts w:ascii="仿宋_GB2312" w:eastAsia="仿宋_GB2312" w:hAnsi="仿宋_GB2312" w:cs="仿宋_GB2312" w:hint="eastAsia"/>
          <w:spacing w:val="7"/>
          <w:sz w:val="32"/>
          <w:szCs w:val="32"/>
          <w:lang w:eastAsia="zh-CN"/>
        </w:rPr>
        <w:t>定进行界定和处理。</w:t>
      </w:r>
    </w:p>
    <w:p w14:paraId="0337774E" w14:textId="77777777" w:rsidR="00AF43BD" w:rsidRDefault="00000000">
      <w:pPr>
        <w:widowControl w:val="0"/>
        <w:kinsoku/>
        <w:autoSpaceDE/>
        <w:autoSpaceDN/>
        <w:spacing w:line="560" w:lineRule="exact"/>
        <w:ind w:firstLineChars="200" w:firstLine="643"/>
        <w:jc w:val="both"/>
        <w:textAlignment w:val="auto"/>
        <w:outlineLvl w:val="0"/>
        <w:rPr>
          <w:rFonts w:ascii="黑体" w:eastAsia="黑体" w:hAnsi="黑体" w:cs="黑体" w:hint="eastAsia"/>
          <w:b/>
          <w:bCs/>
          <w:snapToGrid/>
          <w:color w:val="000000" w:themeColor="text1"/>
          <w:kern w:val="2"/>
          <w:sz w:val="32"/>
          <w:szCs w:val="32"/>
          <w:lang w:eastAsia="zh-CN"/>
        </w:rPr>
      </w:pPr>
      <w:r>
        <w:rPr>
          <w:rFonts w:ascii="黑体" w:eastAsia="黑体" w:hAnsi="黑体" w:cs="黑体" w:hint="eastAsia"/>
          <w:b/>
          <w:bCs/>
          <w:snapToGrid/>
          <w:color w:val="000000" w:themeColor="text1"/>
          <w:kern w:val="2"/>
          <w:sz w:val="32"/>
          <w:szCs w:val="32"/>
          <w:lang w:eastAsia="zh-CN"/>
        </w:rPr>
        <w:t>九、评审与答辩</w:t>
      </w:r>
    </w:p>
    <w:p w14:paraId="01E89FDD"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1.评审</w:t>
      </w:r>
    </w:p>
    <w:p w14:paraId="5449A16D"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博士学位论文或申请学位实践成果须至少由3位本专业领</w:t>
      </w:r>
      <w:r>
        <w:rPr>
          <w:rFonts w:ascii="仿宋_GB2312" w:eastAsia="仿宋_GB2312" w:hAnsi="仿宋_GB2312" w:cs="仿宋_GB2312" w:hint="eastAsia"/>
          <w:sz w:val="32"/>
          <w:szCs w:val="32"/>
          <w:lang w:eastAsia="zh-CN"/>
        </w:rPr>
        <w:lastRenderedPageBreak/>
        <w:t>域具有博士研究生指导资格</w:t>
      </w:r>
      <w:r>
        <w:rPr>
          <w:rFonts w:ascii="仿宋_GB2312" w:eastAsia="仿宋_GB2312" w:hAnsi="仿宋_GB2312" w:cs="仿宋_GB2312" w:hint="eastAsia"/>
          <w:spacing w:val="7"/>
          <w:sz w:val="32"/>
          <w:szCs w:val="32"/>
          <w:lang w:eastAsia="zh-CN"/>
        </w:rPr>
        <w:t>或具有正高级职称的专家评审，</w:t>
      </w:r>
      <w:r>
        <w:rPr>
          <w:rFonts w:ascii="仿宋_GB2312" w:eastAsia="仿宋_GB2312" w:hAnsi="仿宋_GB2312" w:cs="仿宋_GB2312" w:hint="eastAsia"/>
          <w:spacing w:val="4"/>
          <w:sz w:val="32"/>
          <w:szCs w:val="32"/>
          <w:lang w:eastAsia="zh-CN"/>
        </w:rPr>
        <w:t>其中至少有1位企业专家。</w:t>
      </w:r>
    </w:p>
    <w:p w14:paraId="27C2AFA8" w14:textId="77777777" w:rsidR="00AF43BD" w:rsidRDefault="00000000">
      <w:pPr>
        <w:pStyle w:val="a4"/>
        <w:spacing w:before="1" w:line="560" w:lineRule="exact"/>
        <w:ind w:left="31" w:right="158" w:firstLine="654"/>
        <w:jc w:val="both"/>
        <w:rPr>
          <w:rFonts w:ascii="仿宋_GB2312" w:eastAsia="仿宋_GB2312" w:hAnsi="仿宋_GB2312" w:cs="仿宋_GB2312" w:hint="eastAsia"/>
          <w:sz w:val="32"/>
          <w:szCs w:val="32"/>
          <w:lang w:eastAsia="zh-CN"/>
        </w:rPr>
      </w:pPr>
      <w:r>
        <w:rPr>
          <w:rFonts w:ascii="仿宋_GB2312" w:eastAsia="仿宋_GB2312" w:hAnsi="仿宋_GB2312" w:cs="仿宋_GB2312" w:hint="eastAsia"/>
          <w:spacing w:val="9"/>
          <w:sz w:val="32"/>
          <w:szCs w:val="32"/>
          <w:lang w:eastAsia="zh-CN"/>
        </w:rPr>
        <w:t>学位论文可从论文的选题与综述，研究内容、创新性及成果效益，专业基础及工程实践能力，写作水平及规范性等</w:t>
      </w:r>
      <w:r>
        <w:rPr>
          <w:rFonts w:ascii="仿宋_GB2312" w:eastAsia="仿宋_GB2312" w:hAnsi="仿宋_GB2312" w:cs="仿宋_GB2312" w:hint="eastAsia"/>
          <w:spacing w:val="8"/>
          <w:sz w:val="32"/>
          <w:szCs w:val="32"/>
          <w:lang w:eastAsia="zh-CN"/>
        </w:rPr>
        <w:t>方面进行综合评价。申请学位实践成果可从实践价值与影响力，创新性与应用效益，理论基础及实践创新能力，规范性</w:t>
      </w:r>
      <w:r>
        <w:rPr>
          <w:rFonts w:ascii="仿宋_GB2312" w:eastAsia="仿宋_GB2312" w:hAnsi="仿宋_GB2312" w:cs="仿宋_GB2312" w:hint="eastAsia"/>
          <w:spacing w:val="7"/>
          <w:sz w:val="32"/>
          <w:szCs w:val="32"/>
          <w:lang w:eastAsia="zh-CN"/>
        </w:rPr>
        <w:t>与知识产权等方面进行综合评价。</w:t>
      </w:r>
    </w:p>
    <w:p w14:paraId="72D982CA"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2.答辩</w:t>
      </w:r>
    </w:p>
    <w:p w14:paraId="1D7B7985"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学位论文或申请学位实践成果答辩委员会须至少由5位本专业领域具有博士研究生指导资格或具有正高级职称的专家组成，其中至少有1位企业专家。</w:t>
      </w:r>
    </w:p>
    <w:p w14:paraId="24F199CB"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学位论文或实践成果专家评阅通过后进入答辩程序，答辩应以公开方式进行，具体按照《齐鲁工业大学（山东省科学院）研究生学位申请实施细则》（齐鲁工大鲁科院字〔2025〕27号）执行。</w:t>
      </w:r>
    </w:p>
    <w:p w14:paraId="63A5B63E" w14:textId="77777777" w:rsidR="00AF43BD" w:rsidRDefault="00000000">
      <w:pPr>
        <w:widowControl w:val="0"/>
        <w:kinsoku/>
        <w:autoSpaceDE/>
        <w:autoSpaceDN/>
        <w:spacing w:line="560" w:lineRule="exact"/>
        <w:ind w:firstLineChars="200" w:firstLine="643"/>
        <w:jc w:val="both"/>
        <w:textAlignment w:val="auto"/>
        <w:outlineLvl w:val="0"/>
        <w:rPr>
          <w:rFonts w:ascii="黑体" w:eastAsia="黑体" w:hAnsi="黑体" w:cs="黑体" w:hint="eastAsia"/>
          <w:b/>
          <w:bCs/>
          <w:snapToGrid/>
          <w:color w:val="000000" w:themeColor="text1"/>
          <w:kern w:val="2"/>
          <w:sz w:val="32"/>
          <w:szCs w:val="32"/>
          <w:lang w:eastAsia="zh-CN"/>
        </w:rPr>
      </w:pPr>
      <w:r>
        <w:rPr>
          <w:rFonts w:ascii="黑体" w:eastAsia="黑体" w:hAnsi="黑体" w:cs="黑体" w:hint="eastAsia"/>
          <w:b/>
          <w:bCs/>
          <w:snapToGrid/>
          <w:color w:val="000000" w:themeColor="text1"/>
          <w:kern w:val="2"/>
          <w:sz w:val="32"/>
          <w:szCs w:val="32"/>
          <w:lang w:eastAsia="zh-CN"/>
        </w:rPr>
        <w:t>十、毕业与学位授予</w:t>
      </w:r>
    </w:p>
    <w:p w14:paraId="674D5CE3" w14:textId="77777777" w:rsidR="00AF43BD" w:rsidRDefault="00000000">
      <w:pPr>
        <w:widowControl w:val="0"/>
        <w:kinsoku/>
        <w:autoSpaceDE/>
        <w:autoSpaceDN/>
        <w:spacing w:line="560" w:lineRule="exact"/>
        <w:ind w:firstLineChars="200" w:firstLine="640"/>
        <w:jc w:val="both"/>
        <w:textAlignment w:val="auto"/>
        <w:outlineLvl w:val="0"/>
        <w:rPr>
          <w:rFonts w:ascii="仿宋_GB2312" w:eastAsia="仿宋_GB2312" w:hAnsi="仿宋_GB2312" w:cs="仿宋_GB2312" w:hint="eastAsia"/>
          <w:sz w:val="32"/>
          <w:szCs w:val="32"/>
          <w:highlight w:val="yellow"/>
          <w:lang w:eastAsia="zh-CN"/>
        </w:rPr>
      </w:pPr>
      <w:r>
        <w:rPr>
          <w:rFonts w:ascii="仿宋_GB2312" w:eastAsia="仿宋_GB2312" w:hAnsi="仿宋_GB2312" w:cs="仿宋_GB2312" w:hint="eastAsia"/>
          <w:sz w:val="32"/>
          <w:szCs w:val="32"/>
          <w:lang w:eastAsia="zh-CN"/>
        </w:rPr>
        <w:t>博士研究生在规定的最长修业年限内，按要求完成培养方案中规定的所有环节，成绩合格，符合毕业条件，由培养单位颁发毕业证书。</w:t>
      </w:r>
    </w:p>
    <w:p w14:paraId="1DF14DAE" w14:textId="77777777" w:rsidR="00AF43BD" w:rsidRDefault="00000000">
      <w:pPr>
        <w:pStyle w:val="a4"/>
        <w:spacing w:before="2" w:line="560" w:lineRule="exact"/>
        <w:ind w:left="26" w:firstLine="644"/>
        <w:jc w:val="both"/>
        <w:rPr>
          <w:rFonts w:ascii="仿宋" w:eastAsia="仿宋" w:hAnsi="仿宋" w:cs="仿宋_GB2312" w:hint="eastAsia"/>
          <w:spacing w:val="7"/>
          <w:sz w:val="32"/>
          <w:szCs w:val="32"/>
          <w:lang w:eastAsia="zh-CN"/>
        </w:rPr>
      </w:pPr>
      <w:r>
        <w:rPr>
          <w:rFonts w:ascii="仿宋" w:eastAsia="仿宋" w:hAnsi="仿宋" w:cs="仿宋_GB2312" w:hint="eastAsia"/>
          <w:spacing w:val="11"/>
          <w:sz w:val="32"/>
          <w:szCs w:val="32"/>
          <w:lang w:eastAsia="zh-CN"/>
        </w:rPr>
        <w:t>博士研究生达到申请学位基本要求，通过学位论文或申请学位实践成果答辩，经学位授予单位学位评定委员会审核</w:t>
      </w:r>
      <w:r>
        <w:rPr>
          <w:rFonts w:ascii="仿宋" w:eastAsia="仿宋" w:hAnsi="仿宋" w:cs="仿宋_GB2312" w:hint="eastAsia"/>
          <w:spacing w:val="7"/>
          <w:sz w:val="32"/>
          <w:szCs w:val="32"/>
          <w:lang w:eastAsia="zh-CN"/>
        </w:rPr>
        <w:t>批准后，授予相应工程类别博士专业学位。学位授予按照《齐鲁工业大学（山东省科学院）学位授予办法》（齐鲁工大鲁科院字〔2025〕21号）执行</w:t>
      </w:r>
      <w:r>
        <w:rPr>
          <w:rFonts w:ascii="仿宋_GB2312" w:eastAsia="仿宋_GB2312" w:hAnsi="仿宋_GB2312" w:cs="仿宋_GB2312" w:hint="eastAsia"/>
          <w:spacing w:val="7"/>
          <w:sz w:val="32"/>
          <w:szCs w:val="32"/>
          <w:lang w:eastAsia="zh-CN"/>
        </w:rPr>
        <w:t>。</w:t>
      </w:r>
      <w:r>
        <w:rPr>
          <w:rFonts w:ascii="仿宋" w:eastAsia="仿宋" w:hAnsi="仿宋" w:cs="仿宋_GB2312" w:hint="eastAsia"/>
          <w:spacing w:val="7"/>
          <w:sz w:val="32"/>
          <w:szCs w:val="32"/>
          <w:lang w:eastAsia="zh-CN"/>
        </w:rPr>
        <w:t>提前及</w:t>
      </w:r>
      <w:r>
        <w:rPr>
          <w:rFonts w:ascii="仿宋" w:eastAsia="仿宋" w:hAnsi="仿宋" w:hint="eastAsia"/>
          <w:spacing w:val="7"/>
          <w:sz w:val="32"/>
          <w:szCs w:val="32"/>
          <w:lang w:eastAsia="zh-CN"/>
        </w:rPr>
        <w:t>延</w:t>
      </w:r>
      <w:r>
        <w:rPr>
          <w:rFonts w:ascii="仿宋" w:eastAsia="仿宋" w:hAnsi="仿宋" w:cs="___WRD_EMBED_SUB_43" w:hint="eastAsia"/>
          <w:spacing w:val="7"/>
          <w:sz w:val="32"/>
          <w:szCs w:val="32"/>
          <w:lang w:eastAsia="zh-CN"/>
        </w:rPr>
        <w:t>期毕业的研究生按</w:t>
      </w:r>
      <w:r>
        <w:rPr>
          <w:rFonts w:ascii="仿宋" w:eastAsia="仿宋" w:hAnsi="仿宋" w:cs="___WRD_EMBED_SUB_43" w:hint="eastAsia"/>
          <w:spacing w:val="7"/>
          <w:sz w:val="32"/>
          <w:szCs w:val="32"/>
          <w:lang w:eastAsia="zh-CN"/>
        </w:rPr>
        <w:lastRenderedPageBreak/>
        <w:t>照《齐鲁工业大学（山东省科学院）研究生提前及</w:t>
      </w:r>
      <w:r>
        <w:rPr>
          <w:rFonts w:ascii="仿宋" w:eastAsia="仿宋" w:hAnsi="仿宋" w:hint="eastAsia"/>
          <w:spacing w:val="7"/>
          <w:sz w:val="32"/>
          <w:szCs w:val="32"/>
          <w:lang w:eastAsia="zh-CN"/>
        </w:rPr>
        <w:t>延</w:t>
      </w:r>
      <w:r>
        <w:rPr>
          <w:rFonts w:ascii="仿宋" w:eastAsia="仿宋" w:hAnsi="仿宋" w:cs="___WRD_EMBED_SUB_43" w:hint="eastAsia"/>
          <w:spacing w:val="7"/>
          <w:sz w:val="32"/>
          <w:szCs w:val="32"/>
          <w:lang w:eastAsia="zh-CN"/>
        </w:rPr>
        <w:t>期毕业的</w:t>
      </w:r>
      <w:r>
        <w:rPr>
          <w:rFonts w:ascii="仿宋" w:eastAsia="仿宋" w:hAnsi="仿宋" w:hint="eastAsia"/>
          <w:spacing w:val="7"/>
          <w:sz w:val="32"/>
          <w:szCs w:val="32"/>
          <w:lang w:eastAsia="zh-CN"/>
        </w:rPr>
        <w:t>暂</w:t>
      </w:r>
      <w:r>
        <w:rPr>
          <w:rFonts w:ascii="仿宋" w:eastAsia="仿宋" w:hAnsi="仿宋" w:cs="___WRD_EMBED_SUB_43" w:hint="eastAsia"/>
          <w:spacing w:val="7"/>
          <w:sz w:val="32"/>
          <w:szCs w:val="32"/>
          <w:lang w:eastAsia="zh-CN"/>
        </w:rPr>
        <w:t>行规定》（齐鲁工大鲁科院研字〔</w:t>
      </w:r>
      <w:r>
        <w:rPr>
          <w:rFonts w:ascii="仿宋" w:eastAsia="仿宋" w:hAnsi="仿宋" w:cs="仿宋_GB2312"/>
          <w:spacing w:val="7"/>
          <w:sz w:val="32"/>
          <w:szCs w:val="32"/>
          <w:lang w:eastAsia="zh-CN"/>
        </w:rPr>
        <w:t>2025</w:t>
      </w:r>
      <w:r>
        <w:rPr>
          <w:rFonts w:ascii="仿宋" w:eastAsia="仿宋" w:hAnsi="仿宋" w:cs="仿宋_GB2312" w:hint="eastAsia"/>
          <w:spacing w:val="7"/>
          <w:sz w:val="32"/>
          <w:szCs w:val="32"/>
          <w:lang w:eastAsia="zh-CN"/>
        </w:rPr>
        <w:t>〕</w:t>
      </w:r>
      <w:r>
        <w:rPr>
          <w:rFonts w:ascii="仿宋" w:eastAsia="仿宋" w:hAnsi="仿宋" w:cs="仿宋_GB2312"/>
          <w:spacing w:val="7"/>
          <w:sz w:val="32"/>
          <w:szCs w:val="32"/>
          <w:lang w:eastAsia="zh-CN"/>
        </w:rPr>
        <w:t>3</w:t>
      </w:r>
      <w:r>
        <w:rPr>
          <w:rFonts w:ascii="仿宋" w:eastAsia="仿宋" w:hAnsi="仿宋" w:cs="仿宋_GB2312" w:hint="eastAsia"/>
          <w:spacing w:val="7"/>
          <w:sz w:val="32"/>
          <w:szCs w:val="32"/>
          <w:lang w:eastAsia="zh-CN"/>
        </w:rPr>
        <w:t>号）执行。论文答辩依据《齐鲁工业大学（山东省科学院）研究生学位申请实施细则》（齐鲁工大鲁科院字〔</w:t>
      </w:r>
      <w:r>
        <w:rPr>
          <w:rFonts w:ascii="仿宋" w:eastAsia="仿宋" w:hAnsi="仿宋" w:cs="仿宋_GB2312"/>
          <w:spacing w:val="7"/>
          <w:sz w:val="32"/>
          <w:szCs w:val="32"/>
          <w:lang w:eastAsia="zh-CN"/>
        </w:rPr>
        <w:t>2025</w:t>
      </w:r>
      <w:r>
        <w:rPr>
          <w:rFonts w:ascii="仿宋" w:eastAsia="仿宋" w:hAnsi="仿宋" w:cs="仿宋_GB2312" w:hint="eastAsia"/>
          <w:spacing w:val="7"/>
          <w:sz w:val="32"/>
          <w:szCs w:val="32"/>
          <w:lang w:eastAsia="zh-CN"/>
        </w:rPr>
        <w:t>〕</w:t>
      </w:r>
      <w:r>
        <w:rPr>
          <w:rFonts w:ascii="仿宋" w:eastAsia="仿宋" w:hAnsi="仿宋" w:cs="仿宋_GB2312"/>
          <w:spacing w:val="7"/>
          <w:sz w:val="32"/>
          <w:szCs w:val="32"/>
          <w:lang w:eastAsia="zh-CN"/>
        </w:rPr>
        <w:t>27</w:t>
      </w:r>
      <w:r>
        <w:rPr>
          <w:rFonts w:ascii="仿宋" w:eastAsia="仿宋" w:hAnsi="仿宋" w:cs="仿宋_GB2312" w:hint="eastAsia"/>
          <w:spacing w:val="7"/>
          <w:sz w:val="32"/>
          <w:szCs w:val="32"/>
          <w:lang w:eastAsia="zh-CN"/>
        </w:rPr>
        <w:t>号）执行，学位授</w:t>
      </w:r>
      <w:r>
        <w:rPr>
          <w:rFonts w:ascii="仿宋" w:eastAsia="仿宋" w:hAnsi="仿宋" w:hint="eastAsia"/>
          <w:spacing w:val="7"/>
          <w:sz w:val="32"/>
          <w:szCs w:val="32"/>
          <w:lang w:eastAsia="zh-CN"/>
        </w:rPr>
        <w:t>予</w:t>
      </w:r>
      <w:r>
        <w:rPr>
          <w:rFonts w:ascii="仿宋" w:eastAsia="仿宋" w:hAnsi="仿宋" w:cs="___WRD_EMBED_SUB_43" w:hint="eastAsia"/>
          <w:spacing w:val="7"/>
          <w:sz w:val="32"/>
          <w:szCs w:val="32"/>
          <w:lang w:eastAsia="zh-CN"/>
        </w:rPr>
        <w:t>按照《齐鲁工业大学（山东省科学院）学位授</w:t>
      </w:r>
      <w:r>
        <w:rPr>
          <w:rFonts w:ascii="仿宋" w:eastAsia="仿宋" w:hAnsi="仿宋" w:hint="eastAsia"/>
          <w:spacing w:val="7"/>
          <w:sz w:val="32"/>
          <w:szCs w:val="32"/>
          <w:lang w:eastAsia="zh-CN"/>
        </w:rPr>
        <w:t>予</w:t>
      </w:r>
      <w:r>
        <w:rPr>
          <w:rFonts w:ascii="仿宋" w:eastAsia="仿宋" w:hAnsi="仿宋" w:cs="___WRD_EMBED_SUB_43" w:hint="eastAsia"/>
          <w:spacing w:val="7"/>
          <w:sz w:val="32"/>
          <w:szCs w:val="32"/>
          <w:lang w:eastAsia="zh-CN"/>
        </w:rPr>
        <w:t>办法》（齐鲁工大鲁科院字〔</w:t>
      </w:r>
      <w:r>
        <w:rPr>
          <w:rFonts w:ascii="仿宋" w:eastAsia="仿宋" w:hAnsi="仿宋" w:cs="仿宋_GB2312"/>
          <w:spacing w:val="7"/>
          <w:sz w:val="32"/>
          <w:szCs w:val="32"/>
          <w:lang w:eastAsia="zh-CN"/>
        </w:rPr>
        <w:t>2025</w:t>
      </w:r>
      <w:r>
        <w:rPr>
          <w:rFonts w:ascii="仿宋" w:eastAsia="仿宋" w:hAnsi="仿宋" w:cs="仿宋_GB2312" w:hint="eastAsia"/>
          <w:spacing w:val="7"/>
          <w:sz w:val="32"/>
          <w:szCs w:val="32"/>
          <w:lang w:eastAsia="zh-CN"/>
        </w:rPr>
        <w:t>〕</w:t>
      </w:r>
      <w:r>
        <w:rPr>
          <w:rFonts w:ascii="仿宋" w:eastAsia="仿宋" w:hAnsi="仿宋" w:cs="仿宋_GB2312"/>
          <w:spacing w:val="7"/>
          <w:sz w:val="32"/>
          <w:szCs w:val="32"/>
          <w:lang w:eastAsia="zh-CN"/>
        </w:rPr>
        <w:t>21</w:t>
      </w:r>
      <w:r>
        <w:rPr>
          <w:rFonts w:ascii="仿宋" w:eastAsia="仿宋" w:hAnsi="仿宋" w:cs="仿宋_GB2312" w:hint="eastAsia"/>
          <w:spacing w:val="7"/>
          <w:sz w:val="32"/>
          <w:szCs w:val="32"/>
          <w:lang w:eastAsia="zh-CN"/>
        </w:rPr>
        <w:t>号）执行。</w:t>
      </w:r>
    </w:p>
    <w:p w14:paraId="4D3DBE30" w14:textId="77777777" w:rsidR="00AF43BD" w:rsidRDefault="00AF43BD">
      <w:pPr>
        <w:pStyle w:val="a4"/>
        <w:spacing w:before="2" w:line="560" w:lineRule="exact"/>
        <w:ind w:left="26" w:firstLine="644"/>
        <w:jc w:val="both"/>
        <w:rPr>
          <w:rFonts w:ascii="仿宋" w:eastAsia="仿宋" w:hAnsi="仿宋" w:cs="仿宋_GB2312" w:hint="eastAsia"/>
          <w:spacing w:val="7"/>
          <w:sz w:val="32"/>
          <w:szCs w:val="32"/>
          <w:lang w:eastAsia="zh-CN"/>
        </w:rPr>
      </w:pPr>
    </w:p>
    <w:p w14:paraId="54B61732" w14:textId="77777777" w:rsidR="00AF43BD" w:rsidRDefault="00AF43BD">
      <w:pPr>
        <w:pStyle w:val="a4"/>
        <w:spacing w:before="2" w:line="560" w:lineRule="exact"/>
        <w:ind w:left="26" w:firstLine="644"/>
        <w:jc w:val="both"/>
        <w:rPr>
          <w:rFonts w:ascii="仿宋_GB2312" w:eastAsia="仿宋_GB2312" w:hAnsi="仿宋_GB2312" w:cs="仿宋_GB2312" w:hint="eastAsia"/>
          <w:spacing w:val="7"/>
          <w:sz w:val="32"/>
          <w:szCs w:val="32"/>
          <w:lang w:eastAsia="zh-CN"/>
        </w:rPr>
      </w:pPr>
    </w:p>
    <w:p w14:paraId="68A4B83F" w14:textId="77777777" w:rsidR="00AF43BD" w:rsidRDefault="00000000">
      <w:pPr>
        <w:spacing w:beforeLines="50" w:before="120" w:line="560" w:lineRule="exact"/>
        <w:ind w:firstLineChars="200" w:firstLine="640"/>
        <w:outlineLvl w:val="0"/>
        <w:rPr>
          <w:rFonts w:ascii="仿宋_GB2312" w:eastAsia="仿宋_GB2312" w:hAnsi="仿宋_GB2312" w:cs="仿宋_GB2312" w:hint="eastAsia"/>
          <w:bCs/>
          <w:color w:val="000000" w:themeColor="text1"/>
          <w:sz w:val="32"/>
          <w:szCs w:val="32"/>
          <w:lang w:eastAsia="zh-CN"/>
        </w:rPr>
      </w:pPr>
      <w:r>
        <w:rPr>
          <w:rFonts w:ascii="仿宋_GB2312" w:eastAsia="仿宋_GB2312" w:hAnsi="仿宋_GB2312" w:cs="仿宋_GB2312" w:hint="eastAsia"/>
          <w:bCs/>
          <w:color w:val="000000" w:themeColor="text1"/>
          <w:sz w:val="32"/>
          <w:szCs w:val="32"/>
          <w:lang w:eastAsia="zh-CN"/>
        </w:rPr>
        <w:t>学部（院）学位评定分委员会主席（签字）：</w:t>
      </w:r>
    </w:p>
    <w:p w14:paraId="123D35FC" w14:textId="77777777" w:rsidR="00AF43BD" w:rsidRDefault="00AF43BD">
      <w:pPr>
        <w:spacing w:beforeLines="50" w:before="120" w:line="560" w:lineRule="exact"/>
        <w:outlineLvl w:val="0"/>
        <w:rPr>
          <w:rFonts w:ascii="仿宋_GB2312" w:eastAsia="仿宋_GB2312" w:hAnsi="仿宋_GB2312" w:cs="仿宋_GB2312" w:hint="eastAsia"/>
          <w:bCs/>
          <w:color w:val="000000" w:themeColor="text1"/>
          <w:sz w:val="32"/>
          <w:szCs w:val="32"/>
          <w:lang w:eastAsia="zh-CN"/>
        </w:rPr>
      </w:pPr>
    </w:p>
    <w:p w14:paraId="514CCA01" w14:textId="77777777" w:rsidR="00AF43BD" w:rsidRDefault="00000000">
      <w:pPr>
        <w:spacing w:beforeLines="50" w:before="120" w:line="560" w:lineRule="exact"/>
        <w:ind w:firstLineChars="200" w:firstLine="640"/>
        <w:outlineLvl w:val="0"/>
        <w:rPr>
          <w:rFonts w:ascii="仿宋_GB2312" w:eastAsia="仿宋_GB2312" w:hAnsi="仿宋_GB2312" w:cs="仿宋_GB2312" w:hint="eastAsia"/>
          <w:bCs/>
          <w:color w:val="000000" w:themeColor="text1"/>
          <w:sz w:val="32"/>
          <w:szCs w:val="32"/>
          <w:lang w:eastAsia="zh-CN"/>
        </w:rPr>
      </w:pPr>
      <w:r>
        <w:rPr>
          <w:rFonts w:ascii="仿宋_GB2312" w:eastAsia="仿宋_GB2312" w:hAnsi="仿宋_GB2312" w:cs="仿宋_GB2312" w:hint="eastAsia"/>
          <w:bCs/>
          <w:color w:val="000000" w:themeColor="text1"/>
          <w:sz w:val="32"/>
          <w:szCs w:val="32"/>
          <w:lang w:eastAsia="zh-CN"/>
        </w:rPr>
        <w:t>学部（院）公章：</w:t>
      </w:r>
    </w:p>
    <w:p w14:paraId="09EE70D1" w14:textId="77777777" w:rsidR="00AF43BD" w:rsidRDefault="00000000">
      <w:pPr>
        <w:spacing w:beforeLines="50" w:before="120" w:line="560" w:lineRule="exact"/>
        <w:outlineLvl w:val="0"/>
        <w:rPr>
          <w:rFonts w:ascii="仿宋_GB2312" w:eastAsia="仿宋_GB2312" w:hAnsi="仿宋_GB2312" w:cs="仿宋_GB2312" w:hint="eastAsia"/>
          <w:bCs/>
          <w:color w:val="000000" w:themeColor="text1"/>
          <w:sz w:val="32"/>
          <w:szCs w:val="32"/>
          <w:lang w:eastAsia="zh-CN"/>
        </w:rPr>
      </w:pPr>
      <w:r>
        <w:rPr>
          <w:rFonts w:ascii="仿宋_GB2312" w:eastAsia="仿宋_GB2312" w:hAnsi="仿宋_GB2312" w:cs="仿宋_GB2312" w:hint="eastAsia"/>
          <w:bCs/>
          <w:color w:val="000000" w:themeColor="text1"/>
          <w:sz w:val="32"/>
          <w:szCs w:val="32"/>
          <w:lang w:eastAsia="zh-CN"/>
        </w:rPr>
        <w:t xml:space="preserve">                                    年    月    日</w:t>
      </w:r>
    </w:p>
    <w:sectPr w:rsidR="00AF43BD">
      <w:footerReference w:type="default" r:id="rId9"/>
      <w:pgSz w:w="11906" w:h="16839"/>
      <w:pgMar w:top="1417" w:right="1531" w:bottom="1417" w:left="1587" w:header="0" w:footer="1213"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03D9E" w14:textId="77777777" w:rsidR="002C531A" w:rsidRDefault="002C531A">
      <w:r>
        <w:separator/>
      </w:r>
    </w:p>
  </w:endnote>
  <w:endnote w:type="continuationSeparator" w:id="0">
    <w:p w14:paraId="76F933A7" w14:textId="77777777" w:rsidR="002C531A" w:rsidRDefault="002C5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方正小标宋简体">
    <w:altName w:val="方正舒体"/>
    <w:panose1 w:val="03000509000000000000"/>
    <w:charset w:val="86"/>
    <w:family w:val="script"/>
    <w:pitch w:val="fixed"/>
    <w:sig w:usb0="00000001" w:usb1="080E0000" w:usb2="00000010" w:usb3="00000000" w:csb0="00040000" w:csb1="00000000"/>
    <w:embedBold r:id="rId1" w:subsetted="1" w:fontKey="{E4686909-220D-4507-8F96-C8550AF90769}"/>
  </w:font>
  <w:font w:name="黑体">
    <w:altName w:val="SimHei"/>
    <w:panose1 w:val="02010609060101010101"/>
    <w:charset w:val="86"/>
    <w:family w:val="modern"/>
    <w:pitch w:val="fixed"/>
    <w:sig w:usb0="800002BF" w:usb1="38CF7CFA" w:usb2="00000016" w:usb3="00000000" w:csb0="00040001" w:csb1="00000000"/>
    <w:embedBold r:id="rId2" w:subsetted="1" w:fontKey="{912A69F2-5BF6-44FE-B3E0-E4A1CB3D3C4B}"/>
  </w:font>
  <w:font w:name="仿宋_GB2312">
    <w:panose1 w:val="02010609030101010101"/>
    <w:charset w:val="86"/>
    <w:family w:val="modern"/>
    <w:pitch w:val="fixed"/>
    <w:sig w:usb0="00000001" w:usb1="080E0000" w:usb2="00000010" w:usb3="00000000" w:csb0="00040000" w:csb1="00000000"/>
    <w:embedRegular r:id="rId3" w:subsetted="1" w:fontKey="{850B461C-624B-40B3-BE34-A0052A353A0C}"/>
    <w:embedBold r:id="rId4" w:subsetted="1" w:fontKey="{2733916C-34E6-4B17-9A74-E337FE75B277}"/>
  </w:font>
  <w:font w:name="仿宋">
    <w:panose1 w:val="02010609060101010101"/>
    <w:charset w:val="86"/>
    <w:family w:val="modern"/>
    <w:pitch w:val="fixed"/>
    <w:sig w:usb0="800002BF" w:usb1="38CF7CFA" w:usb2="00000016" w:usb3="00000000" w:csb0="00040001" w:csb1="00000000"/>
    <w:embedRegular r:id="rId5" w:subsetted="1" w:fontKey="{333F57AC-3E93-4E8C-9A4E-5FD24B9A954C}"/>
  </w:font>
  <w:font w:name="___WRD_EMBED_SUB_43">
    <w:altName w:val="宋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91BC" w14:textId="77777777" w:rsidR="00AF43BD" w:rsidRDefault="00000000">
    <w:pPr>
      <w:pStyle w:val="a7"/>
      <w:rPr>
        <w:lang w:eastAsia="zh-CN"/>
      </w:rPr>
    </w:pPr>
    <w:r>
      <w:rPr>
        <w:noProof/>
        <w:lang w:eastAsia="zh-CN"/>
      </w:rPr>
      <mc:AlternateContent>
        <mc:Choice Requires="wps">
          <w:drawing>
            <wp:anchor distT="0" distB="0" distL="114300" distR="114300" simplePos="0" relativeHeight="251659264" behindDoc="0" locked="0" layoutInCell="1" allowOverlap="1" wp14:anchorId="2D3DB0DB" wp14:editId="32B690C2">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DC3C18" w14:textId="77777777" w:rsidR="00AF43BD" w:rsidRDefault="00000000">
                          <w:pPr>
                            <w:pStyle w:val="a7"/>
                            <w:rPr>
                              <w:rFonts w:ascii="宋体" w:eastAsia="宋体" w:hAnsi="宋体" w:cs="宋体" w:hint="eastAsia"/>
                              <w:sz w:val="28"/>
                              <w:szCs w:val="28"/>
                            </w:rPr>
                          </w:pP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  \* MERGEFORMAT </w:instrText>
                          </w:r>
                          <w:r>
                            <w:rPr>
                              <w:rFonts w:ascii="宋体" w:eastAsia="宋体" w:hAnsi="宋体" w:cs="宋体" w:hint="eastAsia"/>
                              <w:sz w:val="24"/>
                              <w:szCs w:val="24"/>
                            </w:rPr>
                            <w:fldChar w:fldCharType="separate"/>
                          </w:r>
                          <w:r>
                            <w:rPr>
                              <w:rFonts w:ascii="宋体" w:eastAsia="宋体" w:hAnsi="宋体" w:cs="宋体"/>
                              <w:sz w:val="24"/>
                              <w:szCs w:val="24"/>
                            </w:rPr>
                            <w:t>6</w:t>
                          </w:r>
                          <w:r>
                            <w:rPr>
                              <w:rFonts w:ascii="宋体" w:eastAsia="宋体" w:hAnsi="宋体" w:cs="宋体" w:hint="eastAsia"/>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D3DB0DB"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0DC3C18" w14:textId="77777777" w:rsidR="00AF43BD" w:rsidRDefault="00000000">
                    <w:pPr>
                      <w:pStyle w:val="a7"/>
                      <w:rPr>
                        <w:rFonts w:ascii="宋体" w:eastAsia="宋体" w:hAnsi="宋体" w:cs="宋体" w:hint="eastAsia"/>
                        <w:sz w:val="28"/>
                        <w:szCs w:val="28"/>
                      </w:rPr>
                    </w:pP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  \* MERGEFORMAT </w:instrText>
                    </w:r>
                    <w:r>
                      <w:rPr>
                        <w:rFonts w:ascii="宋体" w:eastAsia="宋体" w:hAnsi="宋体" w:cs="宋体" w:hint="eastAsia"/>
                        <w:sz w:val="24"/>
                        <w:szCs w:val="24"/>
                      </w:rPr>
                      <w:fldChar w:fldCharType="separate"/>
                    </w:r>
                    <w:r>
                      <w:rPr>
                        <w:rFonts w:ascii="宋体" w:eastAsia="宋体" w:hAnsi="宋体" w:cs="宋体"/>
                        <w:sz w:val="24"/>
                        <w:szCs w:val="24"/>
                      </w:rPr>
                      <w:t>6</w:t>
                    </w:r>
                    <w:r>
                      <w:rPr>
                        <w:rFonts w:ascii="宋体" w:eastAsia="宋体" w:hAnsi="宋体" w:cs="宋体" w:hint="eastAsia"/>
                        <w:sz w:val="24"/>
                        <w:szCs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5CB44" w14:textId="77777777" w:rsidR="002C531A" w:rsidRDefault="002C531A">
      <w:r>
        <w:separator/>
      </w:r>
    </w:p>
  </w:footnote>
  <w:footnote w:type="continuationSeparator" w:id="0">
    <w:p w14:paraId="00C41903" w14:textId="77777777" w:rsidR="002C531A" w:rsidRDefault="002C53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DE8CE4"/>
    <w:multiLevelType w:val="singleLevel"/>
    <w:tmpl w:val="ACDE8CE4"/>
    <w:lvl w:ilvl="0">
      <w:start w:val="2"/>
      <w:numFmt w:val="decimal"/>
      <w:suff w:val="nothing"/>
      <w:lvlText w:val="（%1）"/>
      <w:lvlJc w:val="left"/>
    </w:lvl>
  </w:abstractNum>
  <w:num w:numId="1" w16cid:durableId="1207983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bordersDoNotSurroundHeader/>
  <w:bordersDoNotSurroundFooter/>
  <w:defaultTabStop w:val="420"/>
  <w:noPunctuationKerning/>
  <w:characterSpacingControl w:val="doNotCompress"/>
  <w:footnotePr>
    <w:footnote w:id="-1"/>
    <w:footnote w:id="0"/>
  </w:footnotePr>
  <w:endnotePr>
    <w:endnote w:id="-1"/>
    <w:endnote w:id="0"/>
  </w:endnotePr>
  <w:compat>
    <w:spaceForUL/>
    <w:ulTrailSpace/>
    <w:doNotExpandShiftReturn/>
    <w:doNotWrapTextWithPunct/>
    <w:doNotUseEastAsianBreakRules/>
    <w:useFELayout/>
    <w:compatSetting w:name="compatibilityMode" w:uri="http://schemas.microsoft.com/office/word" w:val="14"/>
    <w:compatSetting w:name="useWord2013TrackBottomHyphenation" w:uri="http://schemas.microsoft.com/office/word" w:val="1"/>
  </w:compat>
  <w:rsids>
    <w:rsidRoot w:val="007E0F46"/>
    <w:rsid w:val="0004316F"/>
    <w:rsid w:val="0009073F"/>
    <w:rsid w:val="00107AD2"/>
    <w:rsid w:val="001A6552"/>
    <w:rsid w:val="002473D3"/>
    <w:rsid w:val="00250D19"/>
    <w:rsid w:val="002C531A"/>
    <w:rsid w:val="00407705"/>
    <w:rsid w:val="00414274"/>
    <w:rsid w:val="0043348C"/>
    <w:rsid w:val="00490AB0"/>
    <w:rsid w:val="004E4001"/>
    <w:rsid w:val="00524192"/>
    <w:rsid w:val="00575DFA"/>
    <w:rsid w:val="00583B2A"/>
    <w:rsid w:val="00585B51"/>
    <w:rsid w:val="00595135"/>
    <w:rsid w:val="006E5FB4"/>
    <w:rsid w:val="00701C99"/>
    <w:rsid w:val="00737578"/>
    <w:rsid w:val="007E0F46"/>
    <w:rsid w:val="008F46CC"/>
    <w:rsid w:val="00916C85"/>
    <w:rsid w:val="00AF43BD"/>
    <w:rsid w:val="00BC582F"/>
    <w:rsid w:val="00C060BC"/>
    <w:rsid w:val="00D107DB"/>
    <w:rsid w:val="00D3002D"/>
    <w:rsid w:val="00D50621"/>
    <w:rsid w:val="00D55783"/>
    <w:rsid w:val="00DD0056"/>
    <w:rsid w:val="00E94456"/>
    <w:rsid w:val="00FF56D6"/>
    <w:rsid w:val="031D7517"/>
    <w:rsid w:val="03204E85"/>
    <w:rsid w:val="03394EC1"/>
    <w:rsid w:val="05241B93"/>
    <w:rsid w:val="061A1C7B"/>
    <w:rsid w:val="07081D43"/>
    <w:rsid w:val="07A11279"/>
    <w:rsid w:val="08662A67"/>
    <w:rsid w:val="09680966"/>
    <w:rsid w:val="0A4C5E14"/>
    <w:rsid w:val="0B065FC2"/>
    <w:rsid w:val="0B207881"/>
    <w:rsid w:val="0B72567A"/>
    <w:rsid w:val="0C1C1816"/>
    <w:rsid w:val="0D0C7532"/>
    <w:rsid w:val="0D280606"/>
    <w:rsid w:val="108F1A57"/>
    <w:rsid w:val="126B7053"/>
    <w:rsid w:val="12C624DB"/>
    <w:rsid w:val="12F54112"/>
    <w:rsid w:val="138C102F"/>
    <w:rsid w:val="14332CB1"/>
    <w:rsid w:val="14E32ED1"/>
    <w:rsid w:val="1509442A"/>
    <w:rsid w:val="15A73524"/>
    <w:rsid w:val="15CE7207"/>
    <w:rsid w:val="16F92619"/>
    <w:rsid w:val="17830121"/>
    <w:rsid w:val="17F673BF"/>
    <w:rsid w:val="18C63235"/>
    <w:rsid w:val="18EC78F1"/>
    <w:rsid w:val="1BF20764"/>
    <w:rsid w:val="1BF6798D"/>
    <w:rsid w:val="1D8F0099"/>
    <w:rsid w:val="1E3C2927"/>
    <w:rsid w:val="1E3D60CC"/>
    <w:rsid w:val="1FEF2DF5"/>
    <w:rsid w:val="204A02A8"/>
    <w:rsid w:val="21A47E8B"/>
    <w:rsid w:val="22041550"/>
    <w:rsid w:val="232B589C"/>
    <w:rsid w:val="25B34B41"/>
    <w:rsid w:val="26D86413"/>
    <w:rsid w:val="271B1E4E"/>
    <w:rsid w:val="28304227"/>
    <w:rsid w:val="29164945"/>
    <w:rsid w:val="293F10F7"/>
    <w:rsid w:val="29BD5F8E"/>
    <w:rsid w:val="2A470733"/>
    <w:rsid w:val="2A64465C"/>
    <w:rsid w:val="2AFF5267"/>
    <w:rsid w:val="2B6C1A1A"/>
    <w:rsid w:val="2BD85EB4"/>
    <w:rsid w:val="2C397DEB"/>
    <w:rsid w:val="2E1168A9"/>
    <w:rsid w:val="2F7610B9"/>
    <w:rsid w:val="2FEA5603"/>
    <w:rsid w:val="303845C1"/>
    <w:rsid w:val="30C419B0"/>
    <w:rsid w:val="325A6B36"/>
    <w:rsid w:val="32623A62"/>
    <w:rsid w:val="326B795B"/>
    <w:rsid w:val="32DB4A82"/>
    <w:rsid w:val="338D69D1"/>
    <w:rsid w:val="36AC1CD0"/>
    <w:rsid w:val="371A4A20"/>
    <w:rsid w:val="376E28F0"/>
    <w:rsid w:val="395973C6"/>
    <w:rsid w:val="39934616"/>
    <w:rsid w:val="3B643C94"/>
    <w:rsid w:val="3B99445A"/>
    <w:rsid w:val="3D233F03"/>
    <w:rsid w:val="3D7960D0"/>
    <w:rsid w:val="3D7B3C59"/>
    <w:rsid w:val="3DE26245"/>
    <w:rsid w:val="3E471745"/>
    <w:rsid w:val="3F9F68CB"/>
    <w:rsid w:val="3FC03C8B"/>
    <w:rsid w:val="42194BC2"/>
    <w:rsid w:val="43CD4B66"/>
    <w:rsid w:val="44352E99"/>
    <w:rsid w:val="456E0312"/>
    <w:rsid w:val="459B0EC4"/>
    <w:rsid w:val="45AF27D7"/>
    <w:rsid w:val="45FD3575"/>
    <w:rsid w:val="470703F1"/>
    <w:rsid w:val="47330814"/>
    <w:rsid w:val="47794E4B"/>
    <w:rsid w:val="48036767"/>
    <w:rsid w:val="48F604AC"/>
    <w:rsid w:val="4973272A"/>
    <w:rsid w:val="49BB4BA9"/>
    <w:rsid w:val="4A662C16"/>
    <w:rsid w:val="4CE13531"/>
    <w:rsid w:val="4DC1586D"/>
    <w:rsid w:val="4E516B22"/>
    <w:rsid w:val="4E854A1D"/>
    <w:rsid w:val="4EBB7788"/>
    <w:rsid w:val="4ED23724"/>
    <w:rsid w:val="50CF1F80"/>
    <w:rsid w:val="51675356"/>
    <w:rsid w:val="51CA55B4"/>
    <w:rsid w:val="51E72904"/>
    <w:rsid w:val="5237602E"/>
    <w:rsid w:val="54386BC7"/>
    <w:rsid w:val="54AF6350"/>
    <w:rsid w:val="55E677CC"/>
    <w:rsid w:val="568C3C67"/>
    <w:rsid w:val="5697643B"/>
    <w:rsid w:val="57D60097"/>
    <w:rsid w:val="58E6255C"/>
    <w:rsid w:val="598145FB"/>
    <w:rsid w:val="598D29D8"/>
    <w:rsid w:val="5A761CD3"/>
    <w:rsid w:val="5BB406F0"/>
    <w:rsid w:val="5C4F0418"/>
    <w:rsid w:val="5EB427B5"/>
    <w:rsid w:val="5EB95B21"/>
    <w:rsid w:val="5FAD758B"/>
    <w:rsid w:val="60A70823"/>
    <w:rsid w:val="632E0D88"/>
    <w:rsid w:val="633A772C"/>
    <w:rsid w:val="63DC3D45"/>
    <w:rsid w:val="64836EB1"/>
    <w:rsid w:val="65A818D7"/>
    <w:rsid w:val="65DE4CE7"/>
    <w:rsid w:val="65FA1C74"/>
    <w:rsid w:val="66025620"/>
    <w:rsid w:val="67AE693B"/>
    <w:rsid w:val="6832131A"/>
    <w:rsid w:val="688A121C"/>
    <w:rsid w:val="68BF2482"/>
    <w:rsid w:val="69EF7840"/>
    <w:rsid w:val="6B2B67A5"/>
    <w:rsid w:val="6BD36970"/>
    <w:rsid w:val="6CC87B57"/>
    <w:rsid w:val="6D1B7E1C"/>
    <w:rsid w:val="6DFC03FE"/>
    <w:rsid w:val="71BF1822"/>
    <w:rsid w:val="722A3062"/>
    <w:rsid w:val="741E2752"/>
    <w:rsid w:val="74485A21"/>
    <w:rsid w:val="74FC6F56"/>
    <w:rsid w:val="75724683"/>
    <w:rsid w:val="758C45CD"/>
    <w:rsid w:val="75FB0946"/>
    <w:rsid w:val="773D41E7"/>
    <w:rsid w:val="784C27B6"/>
    <w:rsid w:val="79A5119C"/>
    <w:rsid w:val="7A6F3D08"/>
    <w:rsid w:val="7AD515AF"/>
    <w:rsid w:val="7B02692A"/>
    <w:rsid w:val="7BA07CCB"/>
    <w:rsid w:val="7BDC1B4D"/>
    <w:rsid w:val="7BFB27C6"/>
    <w:rsid w:val="7C444D20"/>
    <w:rsid w:val="7D4521BE"/>
    <w:rsid w:val="7E1C5F55"/>
    <w:rsid w:val="7EDA196C"/>
    <w:rsid w:val="7EE051D4"/>
    <w:rsid w:val="7F430F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39DB8"/>
  <w15:docId w15:val="{4EABCD64-EF3E-47EB-9661-246CDB1B4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style>
  <w:style w:type="paragraph" w:styleId="a4">
    <w:name w:val="Body Text"/>
    <w:basedOn w:val="a"/>
    <w:semiHidden/>
    <w:qFormat/>
    <w:rPr>
      <w:rFonts w:ascii="微软雅黑" w:eastAsia="微软雅黑" w:hAnsi="微软雅黑" w:cs="微软雅黑"/>
      <w:sz w:val="31"/>
      <w:szCs w:val="31"/>
    </w:rPr>
  </w:style>
  <w:style w:type="paragraph" w:styleId="a5">
    <w:name w:val="Balloon Text"/>
    <w:basedOn w:val="a"/>
    <w:link w:val="a6"/>
    <w:qFormat/>
    <w:rPr>
      <w:sz w:val="18"/>
      <w:szCs w:val="18"/>
    </w:rPr>
  </w:style>
  <w:style w:type="paragraph" w:styleId="a7">
    <w:name w:val="footer"/>
    <w:basedOn w:val="a"/>
    <w:qFormat/>
    <w:pPr>
      <w:tabs>
        <w:tab w:val="center" w:pos="4153"/>
        <w:tab w:val="right" w:pos="8306"/>
      </w:tabs>
    </w:pPr>
    <w:rPr>
      <w:sz w:val="18"/>
      <w:szCs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character" w:styleId="a9">
    <w:name w:val="page number"/>
    <w:basedOn w:val="a0"/>
    <w:qFormat/>
  </w:style>
  <w:style w:type="character" w:styleId="aa">
    <w:name w:val="annotation reference"/>
    <w:basedOn w:val="a0"/>
    <w:rPr>
      <w:sz w:val="21"/>
      <w:szCs w:val="21"/>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a6">
    <w:name w:val="批注框文本 字符"/>
    <w:basedOn w:val="a0"/>
    <w:link w:val="a5"/>
    <w:qFormat/>
    <w:rPr>
      <w:rFonts w:ascii="Arial" w:eastAsia="Arial" w:hAnsi="Arial" w:cs="Arial"/>
      <w:snapToGrid w:val="0"/>
      <w:color w:val="000000"/>
      <w:sz w:val="18"/>
      <w:szCs w:val="18"/>
      <w:lang w:eastAsia="en-US"/>
    </w:rPr>
  </w:style>
  <w:style w:type="paragraph" w:customStyle="1" w:styleId="1">
    <w:name w:val="修订1"/>
    <w:hidden/>
    <w:uiPriority w:val="99"/>
    <w:unhideWhenUsed/>
    <w:qFormat/>
    <w:rPr>
      <w:rFonts w:ascii="Arial" w:eastAsia="Arial" w:hAnsi="Arial" w:cs="Arial"/>
      <w:snapToGrid w:val="0"/>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0f0f49f6-fc9b-4be9-8637-4c9c9c3c6e52</errorID>
      <errorWord>长江学者</errorWord>
      <group>L1_Sensitive</group>
      <groupName>敏感问题</groupName>
      <ability>L2_Sensitive</ability>
      <abilityName>敏感内容</abilityName>
      <candidateList/>
      <explain>【敏感内容】句中涉及敏感性内容的违规表述，请注意甄别。</explain>
      <paraID> 2CF7AA7</paraID>
      <start>414</start>
      <end>418</end>
      <status>ignored</status>
      <modifiedWord/>
      <trackRevisions>false</trackRevisions>
    </reviewItem>
    <reviewItem>
      <errorID>c390f24c-04fe-47ea-8f97-56ebe9ae2a14</errorID>
      <errorWord>研究同</errorWord>
      <group>L1_Word</group>
      <groupName>字词问题</groupName>
      <ability>L2_Typo</ability>
      <abilityName>字词错误</abilityName>
      <candidateList>
        <item>研究</item>
      </candidateList>
      <explain/>
      <paraID>666FA718</paraID>
      <start>0</start>
      <end>3</end>
      <status>ignored</status>
      <modifiedWord/>
      <trackRevisions>false</trackRevisions>
    </reviewItem>
    <reviewItem>
      <errorID>215c5309-8512-46a8-9956-2185e37525bf</errorID>
      <errorWord>重要工程项目</errorWord>
      <group>L1_Political</group>
      <groupName>政治性问题</groupName>
      <ability>L2_Keyword</ability>
      <abilityName>固定表述</abilityName>
      <candidateList>
        <item>重大工程项目</item>
      </candidateList>
      <explain>词汇“重大工程项目”在特定场景下为固定表述形式，请确认此处的“重要工程项目”是否存在不当。</explain>
      <paraID>69FCABCA</paraID>
      <start>52</start>
      <end>58</end>
      <status>ignored</status>
      <modifiedWord/>
      <trackRevisions>false</trackRevisions>
    </reviewItem>
    <reviewItem>
      <errorID>9c57c366-3aae-46ff-8b4e-d20dd70f0e45</errorID>
      <errorWord>重要工程项目</errorWord>
      <group>L1_Political</group>
      <groupName>政治性问题</groupName>
      <ability>L2_Keyword</ability>
      <abilityName>固定表述</abilityName>
      <candidateList>
        <item>重大工程项目</item>
      </candidateList>
      <explain>词汇“重大工程项目”在特定场景下为固定表述形式，请确认此处的“重要工程项目”是否存在不当。</explain>
      <paraID> 3B30D9C</paraID>
      <start>77</start>
      <end>83</end>
      <status>ignored</status>
      <modifiedWord/>
      <trackRevisions>false</trackRevisions>
    </reviewItem>
    <reviewItem>
      <errorID>f5301f06-a8d2-44d7-a537-e2dc42e3a258</errorID>
      <errorWord>心</errorWord>
      <group>L1_Word</group>
      <groupName>字词问题</groupName>
      <ability>L2_Typo</ability>
      <abilityName>字词错误</abilityName>
      <candidateList>
        <item>心理</item>
      </candidateList>
      <explain/>
      <paraID>6F2E0480</paraID>
      <start>5</start>
      <end>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D91EE4-5164-4BFE-8EBB-D4A0769C0FDF}">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1148</Words>
  <Characters>6549</Characters>
  <Application>Microsoft Office Word</Application>
  <DocSecurity>0</DocSecurity>
  <Lines>54</Lines>
  <Paragraphs>15</Paragraphs>
  <ScaleCrop>false</ScaleCrop>
  <Company>HP Inc.</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李龙</dc:creator>
  <cp:lastModifiedBy>chen</cp:lastModifiedBy>
  <cp:revision>15</cp:revision>
  <dcterms:created xsi:type="dcterms:W3CDTF">2026-04-07T16:26:00Z</dcterms:created>
  <dcterms:modified xsi:type="dcterms:W3CDTF">2026-07-15T11:20:00Z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2026-04-28T14:53:57Z</vt:filetime>
  </property>
  <property fmtid="{D5CDD505-2E9C-101B-9397-08002B2CF9AE}" pid="4" name="KSOTemplateDocerSaveRecord">
    <vt:lpwstr>eyJoZGlkIjoiNTQ1YzU3OGM3MmUwMzY5MjMyNTBlMmEzMzc5MDdjOGEiLCJ1c2VySWQiOiI2MjU3MjM5ODMifQ==</vt:lpwstr>
  </property>
  <property fmtid="{D5CDD505-2E9C-101B-9397-08002B2CF9AE}" pid="5" name="KSOProductBuildVer">
    <vt:lpwstr>2052-12.1.0.26895</vt:lpwstr>
  </property>
  <property fmtid="{D5CDD505-2E9C-101B-9397-08002B2CF9AE}" pid="6" name="ICV">
    <vt:lpwstr>0735C859975F46FDA399487981D97DCA_13</vt:lpwstr>
  </property>
</Properties>
</file>