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16C02">
      <w:pPr>
        <w:jc w:val="both"/>
        <w:rPr>
          <w:rFonts w:hint="eastAsia" w:ascii="方正小标宋简体" w:hAnsi="方正小标宋简体" w:eastAsia="方正小标宋简体" w:cs="方正小标宋简体"/>
          <w:szCs w:val="21"/>
          <w:lang w:val="en-US" w:eastAsia="zh-CN"/>
        </w:rPr>
      </w:pPr>
      <w:r>
        <w:rPr>
          <w:rFonts w:hint="eastAsia" w:ascii="黑体" w:hAnsi="黑体" w:eastAsia="黑体" w:cs="黑体"/>
          <w:sz w:val="32"/>
          <w:szCs w:val="32"/>
          <w:lang w:eastAsia="zh-CN"/>
        </w:rPr>
        <w:t>附件</w:t>
      </w:r>
      <w:r>
        <w:rPr>
          <w:rFonts w:hint="eastAsia" w:ascii="黑体" w:hAnsi="黑体" w:eastAsia="黑体" w:cs="黑体"/>
          <w:b/>
          <w:bCs/>
          <w:sz w:val="32"/>
          <w:szCs w:val="32"/>
          <w:lang w:val="en-US" w:eastAsia="zh-CN"/>
        </w:rPr>
        <w:t xml:space="preserve">14 </w:t>
      </w:r>
      <w:r>
        <w:rPr>
          <w:rFonts w:hint="eastAsia" w:ascii="宋体" w:hAnsi="宋体" w:eastAsia="方正公文小标宋"/>
          <w:sz w:val="24"/>
          <w:szCs w:val="24"/>
          <w:lang w:val="en-US" w:eastAsia="zh-CN"/>
        </w:rPr>
        <w:t xml:space="preserve">  </w:t>
      </w:r>
      <w:r>
        <w:rPr>
          <w:rFonts w:hint="eastAsia" w:ascii="宋体" w:hAnsi="宋体" w:eastAsia="方正公文小标宋"/>
          <w:szCs w:val="21"/>
          <w:lang w:val="en-US" w:eastAsia="zh-CN"/>
        </w:rPr>
        <w:t xml:space="preserve">       </w:t>
      </w:r>
    </w:p>
    <w:p w14:paraId="42A8C3D3">
      <w:pPr>
        <w:jc w:val="center"/>
        <w:rPr>
          <w:rFonts w:hint="eastAsia" w:ascii="方正小标宋简体" w:hAnsi="方正小标宋简体" w:eastAsia="方正小标宋简体" w:cs="方正小标宋简体"/>
          <w:b w:val="0"/>
          <w:bCs w:val="0"/>
          <w:sz w:val="36"/>
        </w:rPr>
      </w:pPr>
      <w:r>
        <w:rPr>
          <w:rFonts w:hint="eastAsia" w:ascii="方正小标宋简体" w:hAnsi="方正小标宋简体" w:eastAsia="方正小标宋简体" w:cs="方正小标宋简体"/>
          <w:b w:val="0"/>
          <w:bCs w:val="0"/>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简体" w:eastAsia="方正小标宋简体" w:cs="方正小标宋简体"/>
          <w:b w:val="0"/>
          <w:bCs w:val="0"/>
          <w:sz w:val="36"/>
        </w:rPr>
        <w:instrText xml:space="preserve">ADDIN CNKISM.UserStyle</w:instrText>
      </w:r>
      <w:r>
        <w:rPr>
          <w:rFonts w:hint="eastAsia" w:ascii="方正小标宋简体" w:hAnsi="方正小标宋简体" w:eastAsia="方正小标宋简体" w:cs="方正小标宋简体"/>
          <w:b w:val="0"/>
          <w:bCs w:val="0"/>
          <w:sz w:val="36"/>
        </w:rPr>
        <w:fldChar w:fldCharType="end"/>
      </w:r>
      <w:r>
        <w:rPr>
          <w:rFonts w:hint="eastAsia" w:ascii="方正小标宋简体" w:hAnsi="方正小标宋简体" w:eastAsia="方正小标宋简体" w:cs="方正小标宋简体"/>
          <w:b w:val="0"/>
          <w:bCs w:val="0"/>
          <w:sz w:val="36"/>
        </w:rPr>
        <w:t>《</w:t>
      </w:r>
      <w:r>
        <w:rPr>
          <w:rFonts w:hint="eastAsia" w:ascii="方正小标宋简体" w:hAnsi="方正小标宋简体" w:eastAsia="方正小标宋简体" w:cs="方正小标宋简体"/>
          <w:b w:val="0"/>
          <w:bCs w:val="0"/>
          <w:sz w:val="36"/>
          <w:lang w:val="en-US" w:eastAsia="zh-CN"/>
        </w:rPr>
        <w:t>制浆造纸综合实验</w:t>
      </w:r>
      <w:r>
        <w:rPr>
          <w:rFonts w:hint="eastAsia" w:ascii="方正小标宋简体" w:hAnsi="方正小标宋简体" w:eastAsia="方正小标宋简体" w:cs="方正小标宋简体"/>
          <w:b w:val="0"/>
          <w:bCs w:val="0"/>
          <w:sz w:val="36"/>
        </w:rPr>
        <w:t>》课程教学大纲</w:t>
      </w:r>
    </w:p>
    <w:p w14:paraId="42C4E632">
      <w:pPr>
        <w:jc w:val="center"/>
        <w:rPr>
          <w:rFonts w:ascii="仿宋" w:hAnsi="仿宋" w:eastAsia="仿宋" w:cs="仿宋"/>
          <w:sz w:val="28"/>
          <w:szCs w:val="28"/>
        </w:rPr>
      </w:pPr>
      <w:r>
        <w:rPr>
          <w:rFonts w:hint="eastAsia" w:ascii="仿宋" w:hAnsi="仿宋" w:eastAsia="仿宋" w:cs="仿宋"/>
          <w:sz w:val="28"/>
          <w:szCs w:val="28"/>
        </w:rPr>
        <w:t>（实验课程·2024版）</w:t>
      </w:r>
    </w:p>
    <w:p w14:paraId="1537346F">
      <w:pPr>
        <w:spacing w:line="360" w:lineRule="auto"/>
        <w:ind w:firstLine="482" w:firstLineChars="200"/>
        <w:rPr>
          <w:rFonts w:ascii="黑体" w:hAnsi="黑体" w:eastAsia="黑体" w:cs="黑体"/>
          <w:b/>
          <w:sz w:val="24"/>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69FE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1580481">
            <w:pPr>
              <w:adjustRightInd w:val="0"/>
              <w:snapToGrid w:val="0"/>
              <w:jc w:val="center"/>
              <w:rPr>
                <w:rFonts w:ascii="黑体" w:hAnsi="黑体" w:eastAsia="黑体" w:cs="黑体"/>
                <w:bCs/>
                <w:sz w:val="24"/>
              </w:rPr>
            </w:pPr>
            <w:r>
              <w:rPr>
                <w:rFonts w:hint="eastAsia" w:ascii="黑体" w:hAnsi="黑体" w:eastAsia="黑体" w:cs="黑体"/>
                <w:bCs/>
                <w:sz w:val="24"/>
              </w:rPr>
              <w:t>课 程 号</w:t>
            </w:r>
          </w:p>
        </w:tc>
        <w:tc>
          <w:tcPr>
            <w:tcW w:w="2268" w:type="dxa"/>
            <w:vAlign w:val="center"/>
          </w:tcPr>
          <w:p w14:paraId="78DA7C81">
            <w:pPr>
              <w:adjustRightInd w:val="0"/>
              <w:snapToGrid w:val="0"/>
              <w:jc w:val="center"/>
              <w:rPr>
                <w:rFonts w:ascii="黑体" w:hAnsi="黑体" w:eastAsia="黑体" w:cs="黑体"/>
                <w:bCs/>
                <w:sz w:val="24"/>
              </w:rPr>
            </w:pPr>
            <w:r>
              <w:rPr>
                <w:rFonts w:hint="eastAsia" w:ascii="黑体" w:hAnsi="黑体" w:eastAsia="黑体" w:cs="黑体"/>
                <w:bCs/>
                <w:sz w:val="24"/>
              </w:rPr>
              <w:t>B915020</w:t>
            </w:r>
          </w:p>
        </w:tc>
        <w:tc>
          <w:tcPr>
            <w:tcW w:w="1701" w:type="dxa"/>
            <w:vAlign w:val="center"/>
          </w:tcPr>
          <w:p w14:paraId="10045BD3">
            <w:pPr>
              <w:adjustRightInd w:val="0"/>
              <w:snapToGrid w:val="0"/>
              <w:jc w:val="center"/>
              <w:rPr>
                <w:rFonts w:ascii="黑体" w:hAnsi="黑体" w:eastAsia="黑体" w:cs="黑体"/>
                <w:bCs/>
                <w:sz w:val="24"/>
              </w:rPr>
            </w:pPr>
            <w:r>
              <w:rPr>
                <w:rFonts w:hint="eastAsia" w:ascii="黑体" w:hAnsi="黑体" w:eastAsia="黑体" w:cs="黑体"/>
                <w:bCs/>
                <w:color w:val="000000" w:themeColor="text1"/>
                <w:sz w:val="24"/>
                <w14:textFill>
                  <w14:solidFill>
                    <w14:schemeClr w14:val="tx1"/>
                  </w14:solidFill>
                </w14:textFill>
              </w:rPr>
              <w:t>开课单位</w:t>
            </w:r>
          </w:p>
        </w:tc>
        <w:tc>
          <w:tcPr>
            <w:tcW w:w="2835" w:type="dxa"/>
            <w:vAlign w:val="center"/>
          </w:tcPr>
          <w:p w14:paraId="6419AB83">
            <w:pPr>
              <w:adjustRightInd w:val="0"/>
              <w:snapToGrid w:val="0"/>
              <w:jc w:val="center"/>
              <w:rPr>
                <w:rFonts w:hint="default" w:ascii="黑体" w:hAnsi="黑体" w:eastAsia="黑体" w:cs="黑体"/>
                <w:bCs/>
                <w:sz w:val="24"/>
                <w:lang w:val="en-US" w:eastAsia="zh-CN"/>
              </w:rPr>
            </w:pPr>
            <w:r>
              <w:rPr>
                <w:rFonts w:hint="eastAsia" w:ascii="黑体" w:hAnsi="黑体" w:eastAsia="黑体" w:cs="黑体"/>
                <w:bCs/>
                <w:sz w:val="24"/>
                <w:lang w:val="en-US" w:eastAsia="zh-CN"/>
              </w:rPr>
              <w:t>轻工学部</w:t>
            </w:r>
          </w:p>
        </w:tc>
      </w:tr>
      <w:tr w14:paraId="2E7A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23435F20">
            <w:pPr>
              <w:adjustRightInd w:val="0"/>
              <w:snapToGrid w:val="0"/>
              <w:jc w:val="center"/>
              <w:rPr>
                <w:rFonts w:ascii="黑体" w:hAnsi="黑体" w:eastAsia="黑体" w:cs="黑体"/>
                <w:bCs/>
                <w:color w:val="FF0000"/>
                <w:sz w:val="24"/>
              </w:rPr>
            </w:pPr>
            <w:r>
              <w:rPr>
                <w:rFonts w:hint="eastAsia" w:ascii="黑体" w:hAnsi="黑体" w:eastAsia="黑体" w:cs="黑体"/>
                <w:bCs/>
                <w:color w:val="000000" w:themeColor="text1"/>
                <w:sz w:val="24"/>
                <w14:textFill>
                  <w14:solidFill>
                    <w14:schemeClr w14:val="tx1"/>
                  </w14:solidFill>
                </w14:textFill>
              </w:rPr>
              <w:t>课程名称</w:t>
            </w:r>
          </w:p>
        </w:tc>
        <w:tc>
          <w:tcPr>
            <w:tcW w:w="6804" w:type="dxa"/>
            <w:gridSpan w:val="3"/>
            <w:vAlign w:val="center"/>
          </w:tcPr>
          <w:p w14:paraId="4A1B04A8">
            <w:pPr>
              <w:adjustRightInd w:val="0"/>
              <w:snapToGrid w:val="0"/>
              <w:jc w:val="left"/>
              <w:rPr>
                <w:rFonts w:ascii="黑体" w:hAnsi="黑体" w:eastAsia="黑体" w:cs="黑体"/>
                <w:bCs/>
                <w:sz w:val="24"/>
              </w:rPr>
            </w:pPr>
            <w:r>
              <w:rPr>
                <w:rFonts w:hint="eastAsia" w:ascii="黑体" w:hAnsi="黑体" w:eastAsia="黑体" w:cs="黑体"/>
                <w:bCs/>
                <w:sz w:val="24"/>
              </w:rPr>
              <w:t>（中文）制浆造纸综合实验</w:t>
            </w:r>
          </w:p>
        </w:tc>
      </w:tr>
      <w:tr w14:paraId="5FB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5BBB918F">
            <w:pPr>
              <w:adjustRightInd w:val="0"/>
              <w:snapToGrid w:val="0"/>
              <w:jc w:val="center"/>
              <w:rPr>
                <w:rFonts w:ascii="黑体" w:hAnsi="黑体" w:eastAsia="黑体" w:cs="黑体"/>
                <w:bCs/>
                <w:color w:val="FF0000"/>
                <w:sz w:val="24"/>
              </w:rPr>
            </w:pPr>
          </w:p>
        </w:tc>
        <w:tc>
          <w:tcPr>
            <w:tcW w:w="6804" w:type="dxa"/>
            <w:gridSpan w:val="3"/>
            <w:vAlign w:val="center"/>
          </w:tcPr>
          <w:p w14:paraId="65CA9F90">
            <w:pPr>
              <w:adjustRightInd w:val="0"/>
              <w:snapToGrid w:val="0"/>
              <w:jc w:val="left"/>
              <w:rPr>
                <w:rFonts w:ascii="黑体" w:hAnsi="黑体" w:eastAsia="黑体" w:cs="黑体"/>
                <w:bCs/>
                <w:sz w:val="24"/>
              </w:rPr>
            </w:pPr>
            <w:r>
              <w:rPr>
                <w:rFonts w:hint="eastAsia" w:ascii="黑体" w:hAnsi="黑体" w:eastAsia="黑体" w:cs="黑体"/>
                <w:bCs/>
                <w:sz w:val="24"/>
              </w:rPr>
              <w:t>（英文）Integrated Experiment of Pulp and Paper-making</w:t>
            </w:r>
          </w:p>
        </w:tc>
      </w:tr>
      <w:tr w14:paraId="547B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372DE36E">
            <w:pPr>
              <w:adjustRightInd w:val="0"/>
              <w:snapToGrid w:val="0"/>
              <w:jc w:val="center"/>
              <w:rPr>
                <w:rFonts w:ascii="黑体" w:hAnsi="黑体" w:eastAsia="黑体" w:cs="黑体"/>
                <w:bCs/>
                <w:sz w:val="24"/>
              </w:rPr>
            </w:pPr>
            <w:r>
              <w:rPr>
                <w:rFonts w:hint="eastAsia" w:ascii="黑体" w:hAnsi="黑体" w:eastAsia="黑体" w:cs="黑体"/>
                <w:bCs/>
                <w:sz w:val="24"/>
              </w:rPr>
              <w:t>课程性质</w:t>
            </w:r>
          </w:p>
        </w:tc>
        <w:tc>
          <w:tcPr>
            <w:tcW w:w="2268" w:type="dxa"/>
            <w:vAlign w:val="center"/>
          </w:tcPr>
          <w:p w14:paraId="51B58F65">
            <w:pPr>
              <w:adjustRightInd w:val="0"/>
              <w:snapToGrid w:val="0"/>
              <w:jc w:val="center"/>
              <w:rPr>
                <w:rFonts w:ascii="黑体" w:hAnsi="黑体" w:eastAsia="黑体" w:cs="黑体"/>
                <w:bCs/>
                <w:color w:val="FF0000"/>
                <w:sz w:val="24"/>
              </w:rPr>
            </w:pPr>
            <w:r>
              <w:rPr>
                <w:rFonts w:hint="eastAsia" w:ascii="黑体" w:hAnsi="黑体" w:eastAsia="黑体" w:cs="黑体"/>
                <w:bCs/>
                <w:color w:val="FF0000"/>
                <w:sz w:val="24"/>
              </w:rPr>
              <w:t>必修</w:t>
            </w:r>
          </w:p>
        </w:tc>
        <w:tc>
          <w:tcPr>
            <w:tcW w:w="1701" w:type="dxa"/>
            <w:vAlign w:val="center"/>
          </w:tcPr>
          <w:p w14:paraId="5DAEEF3A">
            <w:pPr>
              <w:adjustRightInd w:val="0"/>
              <w:snapToGrid w:val="0"/>
              <w:jc w:val="center"/>
              <w:rPr>
                <w:rFonts w:ascii="黑体" w:hAnsi="黑体" w:eastAsia="黑体" w:cs="黑体"/>
                <w:bCs/>
                <w:sz w:val="24"/>
              </w:rPr>
            </w:pPr>
            <w:r>
              <w:rPr>
                <w:rFonts w:hint="eastAsia" w:ascii="黑体" w:hAnsi="黑体" w:eastAsia="黑体" w:cs="黑体"/>
                <w:bCs/>
                <w:sz w:val="24"/>
              </w:rPr>
              <w:t>考核类型</w:t>
            </w:r>
          </w:p>
        </w:tc>
        <w:tc>
          <w:tcPr>
            <w:tcW w:w="2835" w:type="dxa"/>
            <w:vAlign w:val="center"/>
          </w:tcPr>
          <w:p w14:paraId="27B51E78">
            <w:pPr>
              <w:adjustRightInd w:val="0"/>
              <w:snapToGrid w:val="0"/>
              <w:jc w:val="center"/>
              <w:rPr>
                <w:rFonts w:ascii="黑体" w:hAnsi="黑体" w:eastAsia="黑体" w:cs="黑体"/>
                <w:bCs/>
                <w:color w:val="FF0000"/>
                <w:sz w:val="24"/>
              </w:rPr>
            </w:pPr>
            <w:r>
              <w:rPr>
                <w:rFonts w:hint="eastAsia" w:ascii="黑体" w:hAnsi="黑体" w:eastAsia="黑体" w:cs="黑体"/>
                <w:color w:val="FF0000"/>
                <w:sz w:val="24"/>
              </w:rPr>
              <w:t>考查</w:t>
            </w:r>
          </w:p>
        </w:tc>
      </w:tr>
      <w:tr w14:paraId="7014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ECB85ED">
            <w:pPr>
              <w:adjustRightInd w:val="0"/>
              <w:snapToGrid w:val="0"/>
              <w:jc w:val="center"/>
              <w:rPr>
                <w:rFonts w:ascii="黑体" w:hAnsi="黑体" w:eastAsia="黑体" w:cs="黑体"/>
                <w:bCs/>
                <w:sz w:val="24"/>
              </w:rPr>
            </w:pPr>
            <w:r>
              <w:rPr>
                <w:rFonts w:hint="eastAsia" w:ascii="黑体" w:hAnsi="黑体" w:eastAsia="黑体" w:cs="黑体"/>
                <w:bCs/>
                <w:sz w:val="24"/>
              </w:rPr>
              <w:t>课程学分</w:t>
            </w:r>
          </w:p>
        </w:tc>
        <w:tc>
          <w:tcPr>
            <w:tcW w:w="2268" w:type="dxa"/>
            <w:vAlign w:val="center"/>
          </w:tcPr>
          <w:p w14:paraId="3185833C">
            <w:pPr>
              <w:adjustRightInd w:val="0"/>
              <w:snapToGrid w:val="0"/>
              <w:jc w:val="center"/>
              <w:rPr>
                <w:rFonts w:hint="eastAsia" w:ascii="黑体" w:hAnsi="黑体" w:eastAsia="黑体" w:cs="黑体"/>
                <w:bCs/>
                <w:color w:val="FF0000"/>
                <w:sz w:val="24"/>
                <w:lang w:eastAsia="zh-CN"/>
              </w:rPr>
            </w:pPr>
            <w:r>
              <w:rPr>
                <w:rFonts w:hint="eastAsia" w:ascii="黑体" w:hAnsi="黑体" w:eastAsia="黑体" w:cs="黑体"/>
                <w:bCs/>
                <w:color w:val="FF0000"/>
                <w:sz w:val="24"/>
                <w:lang w:val="en-US" w:eastAsia="zh-CN"/>
              </w:rPr>
              <w:t>4</w:t>
            </w:r>
          </w:p>
        </w:tc>
        <w:tc>
          <w:tcPr>
            <w:tcW w:w="1701" w:type="dxa"/>
            <w:vAlign w:val="center"/>
          </w:tcPr>
          <w:p w14:paraId="198E55BD">
            <w:pPr>
              <w:adjustRightInd w:val="0"/>
              <w:snapToGrid w:val="0"/>
              <w:jc w:val="center"/>
              <w:rPr>
                <w:rFonts w:ascii="黑体" w:hAnsi="黑体" w:eastAsia="黑体" w:cs="黑体"/>
                <w:bCs/>
                <w:sz w:val="24"/>
              </w:rPr>
            </w:pPr>
            <w:r>
              <w:rPr>
                <w:rFonts w:hint="eastAsia" w:ascii="黑体" w:hAnsi="黑体" w:eastAsia="黑体" w:cs="黑体"/>
                <w:bCs/>
                <w:sz w:val="24"/>
              </w:rPr>
              <w:t>课程学时</w:t>
            </w:r>
          </w:p>
        </w:tc>
        <w:tc>
          <w:tcPr>
            <w:tcW w:w="2835" w:type="dxa"/>
            <w:vAlign w:val="center"/>
          </w:tcPr>
          <w:p w14:paraId="1CB41E26">
            <w:pPr>
              <w:adjustRightInd w:val="0"/>
              <w:snapToGrid w:val="0"/>
              <w:jc w:val="center"/>
              <w:rPr>
                <w:rFonts w:ascii="黑体" w:hAnsi="黑体" w:eastAsia="黑体" w:cs="黑体"/>
                <w:bCs/>
                <w:color w:val="FF0000"/>
                <w:sz w:val="24"/>
              </w:rPr>
            </w:pPr>
            <w:r>
              <w:rPr>
                <w:rFonts w:hint="eastAsia" w:ascii="黑体" w:hAnsi="黑体" w:eastAsia="黑体" w:cs="黑体"/>
                <w:bCs/>
                <w:color w:val="FF0000"/>
                <w:sz w:val="24"/>
                <w:lang w:val="en-US" w:eastAsia="zh-CN"/>
              </w:rPr>
              <w:t>128</w:t>
            </w:r>
            <w:r>
              <w:rPr>
                <w:rFonts w:hint="eastAsia" w:ascii="黑体" w:hAnsi="黑体" w:eastAsia="黑体" w:cs="黑体"/>
                <w:bCs/>
                <w:color w:val="FF0000"/>
                <w:sz w:val="24"/>
              </w:rPr>
              <w:t>/</w:t>
            </w:r>
            <w:r>
              <w:rPr>
                <w:rFonts w:hint="eastAsia" w:ascii="黑体" w:hAnsi="黑体" w:eastAsia="黑体" w:cs="黑体"/>
                <w:bCs/>
                <w:color w:val="FF0000"/>
                <w:sz w:val="24"/>
                <w:lang w:val="en-US" w:eastAsia="zh-CN"/>
              </w:rPr>
              <w:t>4</w:t>
            </w:r>
            <w:r>
              <w:rPr>
                <w:rFonts w:hint="eastAsia" w:ascii="黑体" w:hAnsi="黑体" w:eastAsia="黑体" w:cs="黑体"/>
                <w:bCs/>
                <w:color w:val="FF0000"/>
                <w:sz w:val="24"/>
              </w:rPr>
              <w:t>周</w:t>
            </w:r>
          </w:p>
        </w:tc>
      </w:tr>
      <w:tr w14:paraId="14C3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9956424">
            <w:pPr>
              <w:adjustRightInd w:val="0"/>
              <w:snapToGrid w:val="0"/>
              <w:jc w:val="center"/>
              <w:rPr>
                <w:rFonts w:ascii="黑体" w:hAnsi="黑体" w:eastAsia="黑体" w:cs="黑体"/>
                <w:bCs/>
                <w:sz w:val="24"/>
              </w:rPr>
            </w:pPr>
            <w:r>
              <w:rPr>
                <w:rFonts w:hint="eastAsia" w:ascii="黑体" w:hAnsi="黑体" w:eastAsia="黑体" w:cs="黑体"/>
                <w:bCs/>
                <w:sz w:val="24"/>
              </w:rPr>
              <w:t>课程类别</w:t>
            </w:r>
          </w:p>
        </w:tc>
        <w:tc>
          <w:tcPr>
            <w:tcW w:w="6804" w:type="dxa"/>
            <w:gridSpan w:val="3"/>
            <w:vAlign w:val="center"/>
          </w:tcPr>
          <w:p w14:paraId="2820EC08">
            <w:pPr>
              <w:adjustRightInd w:val="0"/>
              <w:snapToGrid w:val="0"/>
              <w:jc w:val="center"/>
              <w:rPr>
                <w:rFonts w:ascii="黑体" w:hAnsi="黑体" w:eastAsia="黑体" w:cs="黑体"/>
                <w:bCs/>
                <w:sz w:val="24"/>
              </w:rPr>
            </w:pPr>
            <w:r>
              <w:rPr>
                <w:rFonts w:hint="eastAsia" w:ascii="黑体" w:hAnsi="黑体" w:eastAsia="黑体" w:cs="黑体"/>
                <w:color w:val="FF0000"/>
                <w:sz w:val="24"/>
                <w:highlight w:val="none"/>
              </w:rPr>
              <w:t>独立设课实验</w:t>
            </w:r>
          </w:p>
        </w:tc>
      </w:tr>
      <w:tr w14:paraId="5404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7D222A98">
            <w:pPr>
              <w:adjustRightInd w:val="0"/>
              <w:snapToGrid w:val="0"/>
              <w:jc w:val="center"/>
              <w:rPr>
                <w:rFonts w:ascii="黑体" w:hAnsi="黑体" w:eastAsia="黑体" w:cs="黑体"/>
                <w:bCs/>
                <w:sz w:val="24"/>
              </w:rPr>
            </w:pPr>
            <w:r>
              <w:rPr>
                <w:rFonts w:hint="eastAsia" w:ascii="黑体" w:hAnsi="黑体" w:eastAsia="黑体" w:cs="黑体"/>
                <w:bCs/>
                <w:sz w:val="24"/>
              </w:rPr>
              <w:t>先修课程</w:t>
            </w:r>
          </w:p>
        </w:tc>
        <w:tc>
          <w:tcPr>
            <w:tcW w:w="6804" w:type="dxa"/>
            <w:gridSpan w:val="3"/>
            <w:vAlign w:val="center"/>
          </w:tcPr>
          <w:p w14:paraId="614156D3">
            <w:pPr>
              <w:adjustRightInd w:val="0"/>
              <w:snapToGrid w:val="0"/>
              <w:jc w:val="center"/>
              <w:rPr>
                <w:rFonts w:ascii="黑体" w:hAnsi="黑体" w:eastAsia="黑体" w:cs="黑体"/>
                <w:bCs/>
                <w:strike/>
                <w:sz w:val="24"/>
                <w:highlight w:val="yellow"/>
              </w:rPr>
            </w:pPr>
            <w:r>
              <w:rPr>
                <w:rFonts w:hint="eastAsia" w:ascii="黑体" w:hAnsi="黑体" w:eastAsia="黑体" w:cs="黑体"/>
                <w:sz w:val="24"/>
              </w:rPr>
              <w:t>制浆原理与工程、造纸原理与工程和制浆造纸分析与检测Ⅰ</w:t>
            </w:r>
          </w:p>
        </w:tc>
      </w:tr>
      <w:tr w14:paraId="0483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E28FCC0">
            <w:pPr>
              <w:adjustRightInd w:val="0"/>
              <w:snapToGrid w:val="0"/>
              <w:jc w:val="center"/>
              <w:rPr>
                <w:rFonts w:ascii="黑体" w:hAnsi="黑体" w:eastAsia="黑体" w:cs="黑体"/>
                <w:bCs/>
                <w:sz w:val="24"/>
              </w:rPr>
            </w:pPr>
            <w:r>
              <w:rPr>
                <w:rFonts w:hint="eastAsia" w:ascii="黑体" w:hAnsi="黑体" w:eastAsia="黑体" w:cs="黑体"/>
                <w:bCs/>
                <w:sz w:val="24"/>
              </w:rPr>
              <w:t>适用专业（类）</w:t>
            </w:r>
          </w:p>
        </w:tc>
        <w:tc>
          <w:tcPr>
            <w:tcW w:w="6804" w:type="dxa"/>
            <w:gridSpan w:val="3"/>
            <w:vAlign w:val="center"/>
          </w:tcPr>
          <w:p w14:paraId="3302F2F0">
            <w:pPr>
              <w:adjustRightInd w:val="0"/>
              <w:snapToGrid w:val="0"/>
              <w:jc w:val="center"/>
              <w:rPr>
                <w:rFonts w:hint="default" w:ascii="黑体" w:hAnsi="黑体" w:eastAsia="黑体" w:cs="黑体"/>
                <w:bCs/>
                <w:sz w:val="24"/>
                <w:lang w:val="en-US" w:eastAsia="zh-CN"/>
              </w:rPr>
            </w:pPr>
            <w:r>
              <w:rPr>
                <w:rFonts w:hint="eastAsia" w:ascii="黑体" w:hAnsi="黑体" w:eastAsia="黑体" w:cs="黑体"/>
                <w:bCs/>
                <w:sz w:val="24"/>
                <w:lang w:val="en-US" w:eastAsia="zh-CN"/>
              </w:rPr>
              <w:t>轻化工程</w:t>
            </w:r>
            <w:r>
              <w:rPr>
                <w:rFonts w:hint="eastAsia" w:ascii="黑体" w:hAnsi="黑体" w:eastAsia="黑体" w:cs="黑体"/>
                <w:b w:val="0"/>
                <w:bCs/>
                <w:sz w:val="24"/>
                <w:szCs w:val="24"/>
              </w:rPr>
              <w:t>（制浆造纸工程方向）</w:t>
            </w:r>
          </w:p>
        </w:tc>
      </w:tr>
    </w:tbl>
    <w:p w14:paraId="0B55E51F">
      <w:pPr>
        <w:spacing w:line="360" w:lineRule="auto"/>
        <w:ind w:firstLine="482" w:firstLineChars="200"/>
        <w:rPr>
          <w:b/>
          <w:sz w:val="24"/>
        </w:rPr>
      </w:pPr>
      <w:r>
        <w:rPr>
          <w:rFonts w:hint="eastAsia" w:ascii="黑体" w:hAnsi="黑体" w:eastAsia="黑体" w:cs="黑体"/>
          <w:b/>
          <w:sz w:val="24"/>
        </w:rPr>
        <w:t>二、课程描述及目标</w:t>
      </w:r>
    </w:p>
    <w:p w14:paraId="4969C1F0">
      <w:pPr>
        <w:spacing w:line="360" w:lineRule="auto"/>
        <w:ind w:firstLine="480" w:firstLineChars="200"/>
        <w:rPr>
          <w:rFonts w:ascii="仿宋_GB2312" w:hAnsi="仿宋_GB2312" w:eastAsia="仿宋_GB2312" w:cs="仿宋_GB2312"/>
          <w:sz w:val="24"/>
        </w:rPr>
      </w:pPr>
      <w:bookmarkStart w:id="0" w:name="_Hlk5205834"/>
      <w:r>
        <w:rPr>
          <w:rFonts w:hint="eastAsia" w:ascii="仿宋_GB2312" w:hAnsi="仿宋_GB2312" w:eastAsia="仿宋_GB2312" w:cs="仿宋_GB2312"/>
          <w:sz w:val="24"/>
        </w:rPr>
        <w:t>（一）课程简介</w:t>
      </w:r>
    </w:p>
    <w:p w14:paraId="749F88E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《制浆造纸综合实验》是高等学校轻化工程（制浆造纸方向）专业的</w:t>
      </w:r>
      <w:r>
        <w:rPr>
          <w:rFonts w:hint="eastAsia" w:ascii="仿宋_GB2312" w:hAnsi="仿宋_GB2312" w:eastAsia="仿宋_GB2312" w:cs="仿宋_GB2312"/>
          <w:sz w:val="24"/>
          <w:lang w:val="en-US" w:eastAsia="zh-CN"/>
        </w:rPr>
        <w:t>一门</w:t>
      </w:r>
      <w:r>
        <w:rPr>
          <w:rFonts w:hint="eastAsia" w:ascii="仿宋_GB2312" w:hAnsi="仿宋_GB2312" w:eastAsia="仿宋_GB2312" w:cs="仿宋_GB2312"/>
          <w:sz w:val="24"/>
        </w:rPr>
        <w:t>专业必修课程。本课程的目标是使学生在学习轻化工程（制浆造纸方向）专业基础课程及专业课程后，通过制浆造纸综合实验课程的学习与实验，掌握从原料蒸煮到纸样检验各工序的工作原理、关键操作技术并能够运用合适的理论对相应的工艺参数进行预测，提高其专业实验技能和团队协作能力。</w:t>
      </w:r>
    </w:p>
    <w:p w14:paraId="31146D9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（二）教学目标</w:t>
      </w:r>
    </w:p>
    <w:p w14:paraId="11A6404E">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通过本课程的教学，使学生掌握以下知识并具备下列能力：</w:t>
      </w:r>
    </w:p>
    <w:p w14:paraId="3CC1B6E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课程目标1：能够运用制浆造纸工艺原理正确分析实验数据，识别数据揭示的复杂工程问题，并能够对相关复杂工程问题进行评价和判断。</w:t>
      </w:r>
    </w:p>
    <w:p w14:paraId="01B3A87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课程目标2：掌握轻化工程设计和产品开发全周期、全流程的基本开发和设计方法和技术，了解影响设计目标和技术方案的各种因素。</w:t>
      </w:r>
    </w:p>
    <w:p w14:paraId="15EB8FD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课程目标3：</w:t>
      </w:r>
      <w:r>
        <w:rPr>
          <w:rFonts w:hint="eastAsia" w:ascii="仿宋_GB2312" w:hAnsi="仿宋_GB2312" w:eastAsia="仿宋_GB2312" w:cs="仿宋_GB2312"/>
          <w:sz w:val="24"/>
        </w:rPr>
        <w:t>能够根据实验要求独立制订实验方案，并具备运用相关的理论对实验工艺参数进行设计和调节并解决实验过程中出现的问题的能力。</w:t>
      </w:r>
    </w:p>
    <w:bookmarkEnd w:id="0"/>
    <w:p w14:paraId="382B455F">
      <w:pPr>
        <w:spacing w:line="360" w:lineRule="auto"/>
        <w:ind w:firstLine="482" w:firstLineChars="200"/>
        <w:rPr>
          <w:b/>
          <w:sz w:val="24"/>
        </w:rPr>
      </w:pPr>
      <w:r>
        <w:rPr>
          <w:rFonts w:hint="eastAsia" w:ascii="黑体" w:hAnsi="黑体" w:eastAsia="黑体" w:cs="黑体"/>
          <w:b/>
          <w:sz w:val="24"/>
        </w:rPr>
        <w:t>三、课程目标对毕业要求的支撑关系</w:t>
      </w:r>
    </w:p>
    <w:tbl>
      <w:tblPr>
        <w:tblStyle w:val="7"/>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35"/>
        <w:gridCol w:w="1701"/>
        <w:gridCol w:w="988"/>
      </w:tblGrid>
      <w:tr w14:paraId="4EFA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35" w:type="dxa"/>
            <w:tcMar>
              <w:top w:w="57" w:type="dxa"/>
              <w:bottom w:w="57" w:type="dxa"/>
            </w:tcMar>
            <w:vAlign w:val="center"/>
          </w:tcPr>
          <w:p w14:paraId="7963DCCE">
            <w:pPr>
              <w:jc w:val="center"/>
              <w:rPr>
                <w:rFonts w:ascii="黑体" w:hAnsi="黑体" w:eastAsia="黑体" w:cs="黑体"/>
                <w:b/>
                <w:sz w:val="24"/>
              </w:rPr>
            </w:pPr>
            <w:r>
              <w:rPr>
                <w:rFonts w:hint="eastAsia" w:ascii="黑体" w:hAnsi="黑体" w:eastAsia="黑体" w:cs="黑体"/>
                <w:b/>
                <w:sz w:val="24"/>
              </w:rPr>
              <w:t>毕业要求指标点</w:t>
            </w:r>
          </w:p>
        </w:tc>
        <w:tc>
          <w:tcPr>
            <w:tcW w:w="1701" w:type="dxa"/>
            <w:tcMar>
              <w:top w:w="57" w:type="dxa"/>
              <w:bottom w:w="57" w:type="dxa"/>
            </w:tcMar>
            <w:vAlign w:val="center"/>
          </w:tcPr>
          <w:p w14:paraId="01D675B6">
            <w:pPr>
              <w:jc w:val="center"/>
              <w:rPr>
                <w:rFonts w:ascii="黑体" w:hAnsi="黑体" w:eastAsia="黑体" w:cs="黑体"/>
                <w:b/>
                <w:sz w:val="24"/>
              </w:rPr>
            </w:pPr>
            <w:r>
              <w:rPr>
                <w:rFonts w:hint="eastAsia" w:ascii="黑体" w:hAnsi="黑体" w:eastAsia="黑体" w:cs="黑体"/>
                <w:b/>
                <w:sz w:val="24"/>
              </w:rPr>
              <w:t>课程目标</w:t>
            </w:r>
          </w:p>
        </w:tc>
        <w:tc>
          <w:tcPr>
            <w:tcW w:w="988" w:type="dxa"/>
            <w:tcMar>
              <w:top w:w="57" w:type="dxa"/>
              <w:bottom w:w="57" w:type="dxa"/>
            </w:tcMar>
            <w:vAlign w:val="center"/>
          </w:tcPr>
          <w:p w14:paraId="4559877E">
            <w:pPr>
              <w:jc w:val="center"/>
              <w:rPr>
                <w:rFonts w:ascii="黑体" w:hAnsi="黑体" w:eastAsia="黑体" w:cs="黑体"/>
                <w:b/>
                <w:sz w:val="24"/>
              </w:rPr>
            </w:pPr>
            <w:r>
              <w:rPr>
                <w:rFonts w:hint="eastAsia" w:ascii="黑体" w:hAnsi="黑体" w:eastAsia="黑体" w:cs="黑体"/>
                <w:b/>
                <w:sz w:val="24"/>
              </w:rPr>
              <w:t>权重</w:t>
            </w:r>
          </w:p>
        </w:tc>
      </w:tr>
      <w:tr w14:paraId="43A0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35" w:type="dxa"/>
            <w:tcMar>
              <w:top w:w="57" w:type="dxa"/>
              <w:bottom w:w="57" w:type="dxa"/>
            </w:tcMar>
            <w:vAlign w:val="center"/>
          </w:tcPr>
          <w:p w14:paraId="078B26A0">
            <w:pPr>
              <w:rPr>
                <w:rFonts w:ascii="宋体" w:hAnsi="宋体"/>
                <w:snapToGrid w:val="0"/>
                <w:kern w:val="0"/>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-1：</w:t>
            </w:r>
            <w:r>
              <w:rPr>
                <w:rFonts w:hint="eastAsia" w:ascii="仿宋_GB2312" w:hAnsi="仿宋_GB2312" w:eastAsia="仿宋_GB2312" w:cs="仿宋_GB2312"/>
                <w:color w:val="auto"/>
                <w:szCs w:val="21"/>
              </w:rPr>
              <w:t>能运用相关科学原理，识别和判断复杂工程问题的关键环节。</w:t>
            </w:r>
          </w:p>
        </w:tc>
        <w:tc>
          <w:tcPr>
            <w:tcW w:w="1701" w:type="dxa"/>
            <w:tcMar>
              <w:top w:w="57" w:type="dxa"/>
              <w:bottom w:w="57" w:type="dxa"/>
            </w:tcMar>
            <w:vAlign w:val="center"/>
          </w:tcPr>
          <w:p w14:paraId="00451A86">
            <w:pPr>
              <w:jc w:val="center"/>
              <w:rPr>
                <w:rFonts w:ascii="仿宋_GB2312" w:hAnsi="仿宋_GB2312" w:eastAsia="仿宋_GB2312" w:cs="仿宋_GB2312"/>
                <w:szCs w:val="21"/>
              </w:rPr>
            </w:pPr>
            <w:r>
              <w:rPr>
                <w:rFonts w:hint="eastAsia" w:ascii="仿宋_GB2312" w:hAnsi="仿宋_GB2312" w:eastAsia="仿宋_GB2312" w:cs="仿宋_GB2312"/>
                <w:szCs w:val="21"/>
              </w:rPr>
              <w:t>课程目标1</w:t>
            </w:r>
          </w:p>
        </w:tc>
        <w:tc>
          <w:tcPr>
            <w:tcW w:w="988" w:type="dxa"/>
            <w:tcMar>
              <w:top w:w="57" w:type="dxa"/>
              <w:bottom w:w="57" w:type="dxa"/>
            </w:tcMar>
            <w:vAlign w:val="center"/>
          </w:tcPr>
          <w:p w14:paraId="05255991">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r>
      <w:tr w14:paraId="48F4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35" w:type="dxa"/>
            <w:tcMar>
              <w:top w:w="57" w:type="dxa"/>
              <w:bottom w:w="57" w:type="dxa"/>
            </w:tcMar>
            <w:vAlign w:val="center"/>
          </w:tcPr>
          <w:p w14:paraId="496F6D9D">
            <w:pP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3-1：掌握轻化工程设计和产品开发全周期、全流程的基本开发和设计方法和技术，了解影响设计目标和技术方案的各种因素。</w:t>
            </w:r>
          </w:p>
        </w:tc>
        <w:tc>
          <w:tcPr>
            <w:tcW w:w="1701" w:type="dxa"/>
            <w:tcMar>
              <w:top w:w="57" w:type="dxa"/>
              <w:bottom w:w="57" w:type="dxa"/>
            </w:tcMar>
            <w:vAlign w:val="center"/>
          </w:tcPr>
          <w:p w14:paraId="4F242B80">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2</w:t>
            </w:r>
          </w:p>
        </w:tc>
        <w:tc>
          <w:tcPr>
            <w:tcW w:w="988" w:type="dxa"/>
            <w:tcMar>
              <w:top w:w="57" w:type="dxa"/>
              <w:bottom w:w="57" w:type="dxa"/>
            </w:tcMar>
            <w:vAlign w:val="center"/>
          </w:tcPr>
          <w:p w14:paraId="510080A8">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r>
      <w:tr w14:paraId="2B44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35" w:type="dxa"/>
            <w:tcMar>
              <w:top w:w="57" w:type="dxa"/>
              <w:bottom w:w="57" w:type="dxa"/>
            </w:tcMar>
            <w:vAlign w:val="center"/>
          </w:tcPr>
          <w:p w14:paraId="128E3DFF">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4-2</w:t>
            </w:r>
            <w:r>
              <w:rPr>
                <w:rFonts w:hint="eastAsia" w:ascii="仿宋_GB2312" w:hAnsi="仿宋_GB2312" w:eastAsia="仿宋_GB2312" w:cs="仿宋_GB2312"/>
                <w:szCs w:val="21"/>
              </w:rPr>
              <w:t>：能够根据实验方案构建实验系统，安全地开展实验，正确地采集实验数据。能对实验结果进行分析和解释，并通过信息综合得到合理有效的结论。</w:t>
            </w:r>
          </w:p>
        </w:tc>
        <w:tc>
          <w:tcPr>
            <w:tcW w:w="1701" w:type="dxa"/>
            <w:tcMar>
              <w:top w:w="57" w:type="dxa"/>
              <w:bottom w:w="57" w:type="dxa"/>
            </w:tcMar>
            <w:vAlign w:val="center"/>
          </w:tcPr>
          <w:p w14:paraId="6C0D12D9">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c>
          <w:tcPr>
            <w:tcW w:w="988" w:type="dxa"/>
            <w:tcMar>
              <w:top w:w="57" w:type="dxa"/>
              <w:bottom w:w="57" w:type="dxa"/>
            </w:tcMar>
            <w:vAlign w:val="center"/>
          </w:tcPr>
          <w:p w14:paraId="2763EFD1">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40</w:t>
            </w:r>
          </w:p>
        </w:tc>
      </w:tr>
    </w:tbl>
    <w:p w14:paraId="43FDC771">
      <w:pPr>
        <w:spacing w:line="360" w:lineRule="auto"/>
        <w:ind w:firstLine="482" w:firstLineChars="200"/>
        <w:rPr>
          <w:rFonts w:hint="eastAsia" w:ascii="仿宋_GB2312" w:hAnsi="仿宋_GB2312" w:eastAsia="仿宋_GB2312" w:cs="仿宋_GB2312"/>
          <w:sz w:val="24"/>
        </w:rPr>
      </w:pPr>
      <w:r>
        <w:rPr>
          <w:rFonts w:hint="eastAsia" w:ascii="黑体" w:hAnsi="黑体" w:eastAsia="黑体" w:cs="黑体"/>
          <w:b/>
          <w:sz w:val="24"/>
        </w:rPr>
        <w:t>四、</w:t>
      </w:r>
      <w:bookmarkStart w:id="1" w:name="_Hlk5201019"/>
      <w:r>
        <w:rPr>
          <w:rFonts w:hint="eastAsia" w:ascii="黑体" w:hAnsi="黑体" w:eastAsia="黑体" w:cs="黑体"/>
          <w:b/>
          <w:sz w:val="24"/>
        </w:rPr>
        <w:t>教学方式与方法</w:t>
      </w:r>
    </w:p>
    <w:p w14:paraId="5093D94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教学方式</w:t>
      </w:r>
    </w:p>
    <w:p w14:paraId="31699F7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1.实践教学与理论课程紧密结合</w:t>
      </w:r>
    </w:p>
    <w:p w14:paraId="6615126B">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在进行实验之前，先进行相关理论知识的讲解和学习，让学生明确实验的目的和意义，从而提高学生对实验内容的理解与掌握。通过这种方式，可以解决传统教学模式中理论课与实践课分离的问题，使学生在实践课上能够更好地应用和理解理论知识。</w:t>
      </w:r>
    </w:p>
    <w:p w14:paraId="075DFF8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 增加实践教学项目的多样性</w:t>
      </w:r>
    </w:p>
    <w:p w14:paraId="597A2CF8">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设置不同难度和复杂度的实验项目，让学生在不同实践环境下应对不同的问题，培养其解决实际问题的能力。</w:t>
      </w:r>
    </w:p>
    <w:p w14:paraId="26ACD08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二</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教学方法</w:t>
      </w:r>
    </w:p>
    <w:p w14:paraId="74B687F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1.利用现代教育技术</w:t>
      </w:r>
    </w:p>
    <w:p w14:paraId="6E32185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利用互联网资源和在线学习平台，提供丰富的学习资料和案例，帮助学生扩展实践教学的视野和知识面。</w:t>
      </w:r>
    </w:p>
    <w:p w14:paraId="646DF87B">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 注重综合能力培养</w:t>
      </w:r>
    </w:p>
    <w:p w14:paraId="1A08246A">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通过开展团队合作的项目，培养学生的沟通、协作和创新能力。</w:t>
      </w:r>
    </w:p>
    <w:p w14:paraId="61F524C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 强化实验操作和数据处理能力</w:t>
      </w:r>
    </w:p>
    <w:p w14:paraId="4FB2FC4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在实验过程中，要求学生严格按照实验步骤进行操作，确保实验结果的准确性。培养学生具备数据处理和分析的能力，使其能够正确地解读实验结果并得出科学的结论。</w:t>
      </w:r>
    </w:p>
    <w:p w14:paraId="04D5554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 鼓励自主探索和创新</w:t>
      </w:r>
    </w:p>
    <w:p w14:paraId="6FA52E35">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在实验教学中，鼓励学生提出自己的见解和想法，培养其自主探索和创新的能力。通过设置一些开放性的</w:t>
      </w:r>
      <w:r>
        <w:rPr>
          <w:rFonts w:hint="eastAsia" w:ascii="仿宋_GB2312" w:hAnsi="仿宋_GB2312" w:eastAsia="仿宋_GB2312" w:cs="仿宋_GB2312"/>
          <w:sz w:val="24"/>
          <w:lang w:val="en-US" w:eastAsia="zh-CN"/>
        </w:rPr>
        <w:t>题目</w:t>
      </w:r>
      <w:r>
        <w:rPr>
          <w:rFonts w:hint="eastAsia" w:ascii="仿宋_GB2312" w:hAnsi="仿宋_GB2312" w:eastAsia="仿宋_GB2312" w:cs="仿宋_GB2312"/>
          <w:sz w:val="24"/>
        </w:rPr>
        <w:t>，让学生有更多的机会进行自主设计和研究。</w:t>
      </w:r>
    </w:p>
    <w:p w14:paraId="11001211">
      <w:pPr>
        <w:spacing w:line="360" w:lineRule="auto"/>
        <w:ind w:firstLine="482" w:firstLineChars="200"/>
        <w:rPr>
          <w:b/>
          <w:sz w:val="24"/>
        </w:rPr>
      </w:pPr>
      <w:r>
        <w:rPr>
          <w:rFonts w:hint="eastAsia" w:ascii="黑体" w:hAnsi="黑体" w:eastAsia="黑体" w:cs="黑体"/>
          <w:b/>
          <w:sz w:val="24"/>
        </w:rPr>
        <w:t>五、教学重点与难点</w:t>
      </w:r>
    </w:p>
    <w:p w14:paraId="3155F2C6">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（一）教学重点</w:t>
      </w:r>
    </w:p>
    <w:p w14:paraId="612E4A4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 理论知识与实践操作的结合</w:t>
      </w:r>
    </w:p>
    <w:p w14:paraId="58DFA16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强调理论知识在实践操作中的应用，确保学生能够理解并掌握制浆造纸的基本原理和工艺流程。通过实践操作，加深学生对理论知识的理解和记忆，提高其实践能力。</w:t>
      </w:r>
    </w:p>
    <w:p w14:paraId="5AEA6E48">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 实验技能的培养</w:t>
      </w:r>
    </w:p>
    <w:p w14:paraId="17A7E1C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注重培养学生的实验操作技能，包括实验设备的使用、实验步骤的掌握、实验数据的记录与处理等。鼓励学生进行多次实验，以提高其熟练度和准确性。</w:t>
      </w:r>
    </w:p>
    <w:p w14:paraId="462A1B8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 实验方案的设计与优化</w:t>
      </w:r>
    </w:p>
    <w:p w14:paraId="73526537">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培养学生独立思考和解决问题的能力，使其能够根据实验目的和要求，自主设计实验方案。引导学生对实验方案进行优化，以提高实验效率和准确性。</w:t>
      </w:r>
    </w:p>
    <w:p w14:paraId="304FF12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 安全意识与环保理念</w:t>
      </w:r>
    </w:p>
    <w:p w14:paraId="0EF6B0C0">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强调实验安全的重要性，教育学生正确使用实验设备和化学试剂，防止意外事故的发生。培养学生的环保意识，使其在实验过程中注重节能减排和资源的合理利用。</w:t>
      </w:r>
    </w:p>
    <w:p w14:paraId="79528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（二）教学难点</w:t>
      </w:r>
    </w:p>
    <w:p w14:paraId="669C9CED">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 实验条件的控制</w:t>
      </w:r>
    </w:p>
    <w:p w14:paraId="6119F6B8">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制浆造纸实验对实验条件的要求较高，如温度、压力、pH值等都需要严格控制。微小的实验条件变化都可能对实验结果产生显著影响。需要引导学生学会如何准确控制和监测实验条件，以确保实验结果的准确性和可靠性。</w:t>
      </w:r>
    </w:p>
    <w:p w14:paraId="65BB2A64">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 实验数据的处理与分析</w:t>
      </w:r>
    </w:p>
    <w:p w14:paraId="1737D389">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制浆造纸实验涉及大量的数据记录和处理工作。学生需要具备一定的数据处理和分析能力，才能从实验数据中提取有用的信息并得出科学的结论。教师可以通过教授数据处理软件的使用方法和数据分析技巧来帮助学生克服这一难点。</w:t>
      </w:r>
    </w:p>
    <w:p w14:paraId="323AEF41">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 实验结果的评估与反馈</w:t>
      </w:r>
    </w:p>
    <w:p w14:paraId="73638F89">
      <w:pPr>
        <w:keepNext w:val="0"/>
        <w:keepLines w:val="0"/>
        <w:pageBreakBefore w:val="0"/>
        <w:widowControl w:val="0"/>
        <w:tabs>
          <w:tab w:val="left" w:pos="672"/>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制浆造纸实验的结果往往受到多种因素的影响，如原料质量、实验条件、操作技能等。因此，对实验结果的评估需要综合考虑多个方面。</w:t>
      </w:r>
    </w:p>
    <w:p w14:paraId="225FF4FD">
      <w:pPr>
        <w:spacing w:line="360" w:lineRule="auto"/>
        <w:ind w:firstLine="482" w:firstLineChars="200"/>
        <w:rPr>
          <w:b/>
          <w:sz w:val="24"/>
        </w:rPr>
      </w:pPr>
      <w:r>
        <w:rPr>
          <w:rFonts w:hint="eastAsia" w:ascii="黑体" w:hAnsi="黑体" w:eastAsia="黑体" w:cs="黑体"/>
          <w:b/>
          <w:sz w:val="24"/>
        </w:rPr>
        <w:t>六、实验内容、基本要求与学时分配</w:t>
      </w:r>
      <w:bookmarkEnd w:id="1"/>
    </w:p>
    <w:tbl>
      <w:tblPr>
        <w:tblStyle w:val="7"/>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6"/>
        <w:gridCol w:w="2275"/>
        <w:gridCol w:w="2733"/>
        <w:gridCol w:w="608"/>
        <w:gridCol w:w="748"/>
        <w:gridCol w:w="792"/>
        <w:gridCol w:w="790"/>
        <w:gridCol w:w="1684"/>
      </w:tblGrid>
      <w:tr w14:paraId="5DFC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606" w:type="dxa"/>
            <w:tcMar>
              <w:top w:w="57" w:type="dxa"/>
              <w:bottom w:w="57" w:type="dxa"/>
            </w:tcMar>
            <w:vAlign w:val="center"/>
          </w:tcPr>
          <w:p w14:paraId="6841B21F">
            <w:pPr>
              <w:jc w:val="center"/>
              <w:rPr>
                <w:rFonts w:ascii="黑体" w:hAnsi="黑体" w:eastAsia="黑体" w:cs="黑体"/>
                <w:b/>
                <w:sz w:val="24"/>
              </w:rPr>
            </w:pPr>
            <w:r>
              <w:rPr>
                <w:rFonts w:hint="eastAsia" w:ascii="黑体" w:hAnsi="黑体" w:eastAsia="黑体" w:cs="黑体"/>
                <w:b/>
                <w:sz w:val="24"/>
              </w:rPr>
              <w:t>序号</w:t>
            </w:r>
          </w:p>
        </w:tc>
        <w:tc>
          <w:tcPr>
            <w:tcW w:w="2275" w:type="dxa"/>
            <w:tcMar>
              <w:top w:w="57" w:type="dxa"/>
              <w:bottom w:w="57" w:type="dxa"/>
            </w:tcMar>
            <w:vAlign w:val="center"/>
          </w:tcPr>
          <w:p w14:paraId="7C4510F6">
            <w:pPr>
              <w:jc w:val="center"/>
              <w:rPr>
                <w:rFonts w:ascii="黑体" w:hAnsi="黑体" w:eastAsia="黑体" w:cs="黑体"/>
                <w:b/>
                <w:sz w:val="24"/>
              </w:rPr>
            </w:pPr>
            <w:r>
              <w:rPr>
                <w:rFonts w:hint="eastAsia" w:ascii="黑体" w:hAnsi="黑体" w:eastAsia="黑体" w:cs="黑体"/>
                <w:b/>
                <w:sz w:val="24"/>
              </w:rPr>
              <w:t>实验项目名称</w:t>
            </w:r>
          </w:p>
        </w:tc>
        <w:tc>
          <w:tcPr>
            <w:tcW w:w="2733" w:type="dxa"/>
            <w:tcMar>
              <w:top w:w="57" w:type="dxa"/>
              <w:bottom w:w="57" w:type="dxa"/>
            </w:tcMar>
            <w:vAlign w:val="center"/>
          </w:tcPr>
          <w:p w14:paraId="469BC2ED">
            <w:pPr>
              <w:jc w:val="center"/>
              <w:rPr>
                <w:rFonts w:ascii="黑体" w:hAnsi="黑体" w:eastAsia="黑体" w:cs="黑体"/>
                <w:b/>
                <w:sz w:val="24"/>
              </w:rPr>
            </w:pPr>
            <w:r>
              <w:rPr>
                <w:rFonts w:hint="eastAsia" w:ascii="黑体" w:hAnsi="黑体" w:eastAsia="黑体" w:cs="黑体"/>
                <w:b/>
                <w:sz w:val="24"/>
              </w:rPr>
              <w:t>实验内容与要求</w:t>
            </w:r>
          </w:p>
        </w:tc>
        <w:tc>
          <w:tcPr>
            <w:tcW w:w="608" w:type="dxa"/>
            <w:tcMar>
              <w:top w:w="57" w:type="dxa"/>
              <w:bottom w:w="57" w:type="dxa"/>
            </w:tcMar>
            <w:vAlign w:val="center"/>
          </w:tcPr>
          <w:p w14:paraId="1E3C3C52">
            <w:pPr>
              <w:jc w:val="center"/>
              <w:rPr>
                <w:rFonts w:hint="eastAsia" w:ascii="黑体" w:hAnsi="黑体" w:eastAsia="黑体" w:cs="黑体"/>
                <w:b/>
                <w:sz w:val="24"/>
              </w:rPr>
            </w:pPr>
            <w:r>
              <w:rPr>
                <w:rFonts w:hint="eastAsia" w:ascii="黑体" w:hAnsi="黑体" w:eastAsia="黑体" w:cs="黑体"/>
                <w:b/>
                <w:sz w:val="24"/>
              </w:rPr>
              <w:t>学时</w:t>
            </w:r>
          </w:p>
        </w:tc>
        <w:tc>
          <w:tcPr>
            <w:tcW w:w="748" w:type="dxa"/>
            <w:tcMar>
              <w:top w:w="57" w:type="dxa"/>
              <w:bottom w:w="57" w:type="dxa"/>
            </w:tcMar>
            <w:vAlign w:val="center"/>
          </w:tcPr>
          <w:p w14:paraId="171CD6D7">
            <w:pPr>
              <w:jc w:val="center"/>
              <w:rPr>
                <w:rFonts w:hint="eastAsia" w:ascii="黑体" w:hAnsi="黑体" w:eastAsia="黑体" w:cs="黑体"/>
                <w:b/>
                <w:sz w:val="24"/>
              </w:rPr>
            </w:pPr>
            <w:r>
              <w:rPr>
                <w:rFonts w:hint="eastAsia" w:ascii="黑体" w:hAnsi="黑体" w:eastAsia="黑体" w:cs="黑体"/>
                <w:b/>
                <w:sz w:val="24"/>
              </w:rPr>
              <w:t>实验类型</w:t>
            </w:r>
          </w:p>
        </w:tc>
        <w:tc>
          <w:tcPr>
            <w:tcW w:w="792" w:type="dxa"/>
            <w:tcMar>
              <w:top w:w="57" w:type="dxa"/>
              <w:bottom w:w="57" w:type="dxa"/>
            </w:tcMar>
            <w:vAlign w:val="center"/>
          </w:tcPr>
          <w:p w14:paraId="28ECD38D">
            <w:pPr>
              <w:jc w:val="center"/>
              <w:rPr>
                <w:rFonts w:ascii="黑体" w:hAnsi="黑体" w:eastAsia="黑体" w:cs="黑体"/>
                <w:b/>
                <w:sz w:val="24"/>
                <w:highlight w:val="none"/>
              </w:rPr>
            </w:pPr>
            <w:r>
              <w:rPr>
                <w:rFonts w:hint="eastAsia" w:ascii="黑体" w:hAnsi="黑体" w:eastAsia="黑体" w:cs="黑体"/>
                <w:b/>
                <w:sz w:val="24"/>
                <w:highlight w:val="none"/>
              </w:rPr>
              <w:t>实验</w:t>
            </w:r>
          </w:p>
          <w:p w14:paraId="4B1339E3">
            <w:pPr>
              <w:jc w:val="center"/>
              <w:rPr>
                <w:rFonts w:ascii="黑体" w:hAnsi="黑体" w:eastAsia="黑体" w:cs="黑体"/>
                <w:b/>
                <w:sz w:val="24"/>
                <w:highlight w:val="none"/>
              </w:rPr>
            </w:pPr>
            <w:r>
              <w:rPr>
                <w:rFonts w:hint="eastAsia" w:ascii="黑体" w:hAnsi="黑体" w:eastAsia="黑体" w:cs="黑体"/>
                <w:b/>
                <w:sz w:val="24"/>
                <w:highlight w:val="none"/>
              </w:rPr>
              <w:t>属性</w:t>
            </w:r>
          </w:p>
        </w:tc>
        <w:tc>
          <w:tcPr>
            <w:tcW w:w="790" w:type="dxa"/>
            <w:tcMar>
              <w:top w:w="57" w:type="dxa"/>
              <w:bottom w:w="57" w:type="dxa"/>
            </w:tcMar>
            <w:vAlign w:val="center"/>
          </w:tcPr>
          <w:p w14:paraId="13B351C0">
            <w:pPr>
              <w:jc w:val="center"/>
              <w:rPr>
                <w:rFonts w:ascii="黑体" w:hAnsi="黑体" w:eastAsia="黑体" w:cs="黑体"/>
                <w:b/>
                <w:sz w:val="24"/>
                <w:highlight w:val="none"/>
              </w:rPr>
            </w:pPr>
            <w:r>
              <w:rPr>
                <w:rFonts w:hint="eastAsia" w:ascii="黑体" w:hAnsi="黑体" w:eastAsia="黑体" w:cs="黑体"/>
                <w:b/>
                <w:sz w:val="24"/>
                <w:highlight w:val="none"/>
              </w:rPr>
              <w:t>每组</w:t>
            </w:r>
          </w:p>
          <w:p w14:paraId="24FD58EF">
            <w:pPr>
              <w:jc w:val="center"/>
              <w:rPr>
                <w:rFonts w:ascii="黑体" w:hAnsi="黑体" w:eastAsia="黑体" w:cs="黑体"/>
                <w:b/>
                <w:sz w:val="24"/>
                <w:highlight w:val="none"/>
              </w:rPr>
            </w:pPr>
            <w:r>
              <w:rPr>
                <w:rFonts w:hint="eastAsia" w:ascii="黑体" w:hAnsi="黑体" w:eastAsia="黑体" w:cs="黑体"/>
                <w:b/>
                <w:sz w:val="24"/>
                <w:highlight w:val="none"/>
              </w:rPr>
              <w:t>人数</w:t>
            </w:r>
          </w:p>
        </w:tc>
        <w:tc>
          <w:tcPr>
            <w:tcW w:w="1684" w:type="dxa"/>
            <w:tcMar>
              <w:top w:w="57" w:type="dxa"/>
              <w:bottom w:w="57" w:type="dxa"/>
            </w:tcMar>
            <w:vAlign w:val="center"/>
          </w:tcPr>
          <w:p w14:paraId="4FB4D38E">
            <w:pPr>
              <w:jc w:val="center"/>
              <w:rPr>
                <w:rFonts w:ascii="黑体" w:hAnsi="黑体" w:eastAsia="黑体" w:cs="黑体"/>
                <w:b/>
                <w:sz w:val="24"/>
              </w:rPr>
            </w:pPr>
            <w:r>
              <w:rPr>
                <w:rFonts w:hint="eastAsia" w:ascii="黑体" w:hAnsi="黑体" w:eastAsia="黑体" w:cs="黑体"/>
                <w:b/>
                <w:sz w:val="24"/>
              </w:rPr>
              <w:t>对应课程目标</w:t>
            </w:r>
          </w:p>
        </w:tc>
      </w:tr>
      <w:tr w14:paraId="058D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3B3C9037">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275" w:type="dxa"/>
            <w:tcMar>
              <w:top w:w="57" w:type="dxa"/>
              <w:bottom w:w="57" w:type="dxa"/>
            </w:tcMar>
            <w:vAlign w:val="center"/>
          </w:tcPr>
          <w:p w14:paraId="20D9E94F">
            <w:pPr>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蒸煮实验</w:t>
            </w:r>
          </w:p>
        </w:tc>
        <w:tc>
          <w:tcPr>
            <w:tcW w:w="2733" w:type="dxa"/>
            <w:tcMar>
              <w:top w:w="57" w:type="dxa"/>
              <w:bottom w:w="57" w:type="dxa"/>
            </w:tcMar>
            <w:vAlign w:val="center"/>
          </w:tcPr>
          <w:p w14:paraId="61FC733A">
            <w:pP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独立制订蒸煮实验方案及工艺条件，掌握计算方法，能够准确的绘制蒸煮曲线，并能根据制浆理论分析蒸煮过程中各参数的变化规律，能够分析出现生浆的原因并提出解决方案。</w:t>
            </w:r>
          </w:p>
        </w:tc>
        <w:tc>
          <w:tcPr>
            <w:tcW w:w="608" w:type="dxa"/>
            <w:tcMar>
              <w:top w:w="57" w:type="dxa"/>
              <w:bottom w:w="57" w:type="dxa"/>
            </w:tcMar>
            <w:vAlign w:val="center"/>
          </w:tcPr>
          <w:p w14:paraId="267D00E7">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48" w:type="dxa"/>
            <w:tcMar>
              <w:top w:w="57" w:type="dxa"/>
              <w:bottom w:w="57" w:type="dxa"/>
            </w:tcMar>
            <w:vAlign w:val="center"/>
          </w:tcPr>
          <w:p w14:paraId="40F1724B">
            <w:pPr>
              <w:jc w:val="center"/>
              <w:rPr>
                <w:rFonts w:ascii="仿宋_GB2312" w:hAnsi="仿宋_GB2312" w:eastAsia="仿宋_GB2312" w:cs="仿宋_GB2312"/>
                <w:szCs w:val="21"/>
              </w:rPr>
            </w:pPr>
            <w:r>
              <w:rPr>
                <w:rFonts w:hint="eastAsia" w:ascii="仿宋_GB2312" w:hAnsi="仿宋_GB2312" w:eastAsia="仿宋_GB2312" w:cs="仿宋_GB2312"/>
                <w:szCs w:val="21"/>
              </w:rPr>
              <w:t>综合性</w:t>
            </w:r>
          </w:p>
        </w:tc>
        <w:tc>
          <w:tcPr>
            <w:tcW w:w="792" w:type="dxa"/>
            <w:tcMar>
              <w:top w:w="57" w:type="dxa"/>
              <w:bottom w:w="57" w:type="dxa"/>
            </w:tcMar>
            <w:vAlign w:val="center"/>
          </w:tcPr>
          <w:p w14:paraId="3D79FE8A">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专业类</w:t>
            </w:r>
          </w:p>
        </w:tc>
        <w:tc>
          <w:tcPr>
            <w:tcW w:w="790" w:type="dxa"/>
            <w:tcMar>
              <w:top w:w="57" w:type="dxa"/>
              <w:bottom w:w="57" w:type="dxa"/>
            </w:tcMar>
            <w:vAlign w:val="center"/>
          </w:tcPr>
          <w:p w14:paraId="2898A7FC">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684" w:type="dxa"/>
            <w:tcMar>
              <w:top w:w="57" w:type="dxa"/>
              <w:bottom w:w="57" w:type="dxa"/>
            </w:tcMar>
            <w:vAlign w:val="center"/>
          </w:tcPr>
          <w:p w14:paraId="1DAF7BE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课程目标1</w:t>
            </w:r>
          </w:p>
          <w:p w14:paraId="2408DAF4">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2</w:t>
            </w:r>
          </w:p>
          <w:p w14:paraId="25618725">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r>
      <w:tr w14:paraId="52BA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08B01034">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275" w:type="dxa"/>
            <w:tcMar>
              <w:top w:w="57" w:type="dxa"/>
              <w:bottom w:w="57" w:type="dxa"/>
            </w:tcMar>
            <w:vAlign w:val="center"/>
          </w:tcPr>
          <w:p w14:paraId="00CF9437">
            <w:pPr>
              <w:jc w:val="center"/>
              <w:rPr>
                <w:rFonts w:ascii="仿宋_GB2312" w:hAnsi="仿宋_GB2312" w:eastAsia="仿宋_GB2312" w:cs="仿宋_GB2312"/>
                <w:szCs w:val="21"/>
              </w:rPr>
            </w:pPr>
            <w:r>
              <w:rPr>
                <w:rFonts w:hint="eastAsia" w:ascii="仿宋_GB2312" w:hAnsi="仿宋_GB2312" w:eastAsia="仿宋_GB2312" w:cs="仿宋_GB2312"/>
                <w:szCs w:val="21"/>
              </w:rPr>
              <w:t>漂白实验</w:t>
            </w:r>
          </w:p>
        </w:tc>
        <w:tc>
          <w:tcPr>
            <w:tcW w:w="2733" w:type="dxa"/>
            <w:tcMar>
              <w:top w:w="57" w:type="dxa"/>
              <w:bottom w:w="57" w:type="dxa"/>
            </w:tcMar>
            <w:vAlign w:val="center"/>
          </w:tcPr>
          <w:p w14:paraId="2930A3B3">
            <w:pPr>
              <w:rPr>
                <w:rFonts w:ascii="仿宋_GB2312" w:hAnsi="仿宋_GB2312" w:eastAsia="仿宋_GB2312" w:cs="仿宋_GB2312"/>
                <w:szCs w:val="21"/>
              </w:rPr>
            </w:pPr>
            <w:r>
              <w:rPr>
                <w:rFonts w:hint="eastAsia" w:ascii="仿宋_GB2312" w:hAnsi="仿宋_GB2312" w:eastAsia="仿宋_GB2312" w:cs="仿宋_GB2312"/>
                <w:szCs w:val="21"/>
              </w:rPr>
              <w:t>独立制订纸浆多段漂白实验方案，熟练掌握有效氯、残氯的测定方法，并能够运用漂白的基本原理分析蒸煮纸浆硬度对漂白工艺的影响，并提出解决方案。</w:t>
            </w:r>
          </w:p>
        </w:tc>
        <w:tc>
          <w:tcPr>
            <w:tcW w:w="608" w:type="dxa"/>
            <w:tcMar>
              <w:top w:w="57" w:type="dxa"/>
              <w:bottom w:w="57" w:type="dxa"/>
            </w:tcMar>
            <w:vAlign w:val="center"/>
          </w:tcPr>
          <w:p w14:paraId="3E6EFB68">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48" w:type="dxa"/>
            <w:tcMar>
              <w:top w:w="57" w:type="dxa"/>
              <w:bottom w:w="57" w:type="dxa"/>
            </w:tcMar>
            <w:vAlign w:val="center"/>
          </w:tcPr>
          <w:p w14:paraId="38FDF558">
            <w:pPr>
              <w:jc w:val="center"/>
              <w:rPr>
                <w:rFonts w:ascii="仿宋_GB2312" w:hAnsi="仿宋_GB2312" w:eastAsia="仿宋_GB2312" w:cs="仿宋_GB2312"/>
                <w:szCs w:val="21"/>
              </w:rPr>
            </w:pPr>
            <w:r>
              <w:rPr>
                <w:rFonts w:hint="eastAsia" w:ascii="仿宋_GB2312" w:hAnsi="仿宋_GB2312" w:eastAsia="仿宋_GB2312" w:cs="仿宋_GB2312"/>
                <w:szCs w:val="21"/>
              </w:rPr>
              <w:t>综合性</w:t>
            </w:r>
          </w:p>
        </w:tc>
        <w:tc>
          <w:tcPr>
            <w:tcW w:w="792" w:type="dxa"/>
            <w:tcMar>
              <w:top w:w="57" w:type="dxa"/>
              <w:bottom w:w="57" w:type="dxa"/>
            </w:tcMar>
            <w:vAlign w:val="center"/>
          </w:tcPr>
          <w:p w14:paraId="168F8CFC">
            <w:pPr>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专业类</w:t>
            </w:r>
          </w:p>
        </w:tc>
        <w:tc>
          <w:tcPr>
            <w:tcW w:w="790" w:type="dxa"/>
            <w:tcMar>
              <w:top w:w="57" w:type="dxa"/>
              <w:bottom w:w="57" w:type="dxa"/>
            </w:tcMar>
            <w:vAlign w:val="center"/>
          </w:tcPr>
          <w:p w14:paraId="13E63E48">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684" w:type="dxa"/>
            <w:tcMar>
              <w:top w:w="57" w:type="dxa"/>
              <w:bottom w:w="57" w:type="dxa"/>
            </w:tcMar>
            <w:vAlign w:val="center"/>
          </w:tcPr>
          <w:p w14:paraId="49BEF55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课程目标2</w:t>
            </w:r>
          </w:p>
          <w:p w14:paraId="4D801838">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r>
      <w:tr w14:paraId="2CA6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68324381">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275" w:type="dxa"/>
            <w:tcMar>
              <w:top w:w="57" w:type="dxa"/>
              <w:bottom w:w="57" w:type="dxa"/>
            </w:tcMar>
            <w:vAlign w:val="center"/>
          </w:tcPr>
          <w:p w14:paraId="23E2AFB1">
            <w:pPr>
              <w:jc w:val="center"/>
              <w:rPr>
                <w:rFonts w:ascii="仿宋_GB2312" w:hAnsi="仿宋_GB2312" w:eastAsia="仿宋_GB2312" w:cs="仿宋_GB2312"/>
                <w:szCs w:val="21"/>
              </w:rPr>
            </w:pPr>
            <w:r>
              <w:rPr>
                <w:rFonts w:hint="eastAsia" w:ascii="仿宋_GB2312" w:hAnsi="仿宋_GB2312" w:eastAsia="仿宋_GB2312" w:cs="仿宋_GB2312"/>
                <w:szCs w:val="21"/>
              </w:rPr>
              <w:t>打浆</w:t>
            </w:r>
            <w:r>
              <w:rPr>
                <w:rFonts w:hint="eastAsia" w:ascii="仿宋_GB2312" w:hAnsi="仿宋_GB2312" w:eastAsia="仿宋_GB2312" w:cs="仿宋_GB2312"/>
                <w:szCs w:val="21"/>
                <w:lang w:val="en-US" w:eastAsia="zh-CN"/>
              </w:rPr>
              <w:t>抄纸</w:t>
            </w:r>
            <w:r>
              <w:rPr>
                <w:rFonts w:hint="eastAsia" w:ascii="仿宋_GB2312" w:hAnsi="仿宋_GB2312" w:eastAsia="仿宋_GB2312" w:cs="仿宋_GB2312"/>
                <w:szCs w:val="21"/>
              </w:rPr>
              <w:t>实验</w:t>
            </w:r>
          </w:p>
        </w:tc>
        <w:tc>
          <w:tcPr>
            <w:tcW w:w="2733" w:type="dxa"/>
            <w:tcMar>
              <w:top w:w="57" w:type="dxa"/>
              <w:bottom w:w="57" w:type="dxa"/>
            </w:tcMar>
            <w:vAlign w:val="center"/>
          </w:tcPr>
          <w:p w14:paraId="3DC632DC">
            <w:pPr>
              <w:rPr>
                <w:rFonts w:ascii="仿宋_GB2312" w:hAnsi="仿宋_GB2312" w:eastAsia="仿宋_GB2312" w:cs="仿宋_GB2312"/>
                <w:szCs w:val="21"/>
              </w:rPr>
            </w:pPr>
            <w:r>
              <w:rPr>
                <w:rFonts w:hint="eastAsia" w:ascii="仿宋_GB2312" w:hAnsi="仿宋_GB2312" w:eastAsia="仿宋_GB2312" w:cs="仿宋_GB2312"/>
                <w:szCs w:val="21"/>
              </w:rPr>
              <w:t>独立制订打浆实验方案和工艺条件。掌握小型打浆机和纸样抄片器的操作方法及其结构和工作原理。掌握纸浆打浆度和纤维湿重的测定方法，分析打浆度和纤维湿重随打浆转数的增加的变化规律。</w:t>
            </w:r>
          </w:p>
        </w:tc>
        <w:tc>
          <w:tcPr>
            <w:tcW w:w="608" w:type="dxa"/>
            <w:tcMar>
              <w:top w:w="57" w:type="dxa"/>
              <w:bottom w:w="57" w:type="dxa"/>
            </w:tcMar>
            <w:vAlign w:val="center"/>
          </w:tcPr>
          <w:p w14:paraId="0591DDB1">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48" w:type="dxa"/>
            <w:tcMar>
              <w:top w:w="57" w:type="dxa"/>
              <w:bottom w:w="57" w:type="dxa"/>
            </w:tcMar>
            <w:vAlign w:val="center"/>
          </w:tcPr>
          <w:p w14:paraId="77F177F1">
            <w:pPr>
              <w:jc w:val="center"/>
              <w:rPr>
                <w:rFonts w:ascii="仿宋_GB2312" w:hAnsi="仿宋_GB2312" w:eastAsia="仿宋_GB2312" w:cs="仿宋_GB2312"/>
                <w:szCs w:val="21"/>
              </w:rPr>
            </w:pPr>
            <w:r>
              <w:rPr>
                <w:rFonts w:hint="eastAsia" w:ascii="仿宋_GB2312" w:hAnsi="仿宋_GB2312" w:eastAsia="仿宋_GB2312" w:cs="仿宋_GB2312"/>
                <w:szCs w:val="21"/>
              </w:rPr>
              <w:t>综合性</w:t>
            </w:r>
          </w:p>
        </w:tc>
        <w:tc>
          <w:tcPr>
            <w:tcW w:w="792" w:type="dxa"/>
            <w:tcMar>
              <w:top w:w="57" w:type="dxa"/>
              <w:bottom w:w="57" w:type="dxa"/>
            </w:tcMar>
            <w:vAlign w:val="center"/>
          </w:tcPr>
          <w:p w14:paraId="54A54307">
            <w:pPr>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专业类</w:t>
            </w:r>
          </w:p>
        </w:tc>
        <w:tc>
          <w:tcPr>
            <w:tcW w:w="790" w:type="dxa"/>
            <w:tcMar>
              <w:top w:w="57" w:type="dxa"/>
              <w:bottom w:w="57" w:type="dxa"/>
            </w:tcMar>
            <w:vAlign w:val="center"/>
          </w:tcPr>
          <w:p w14:paraId="5643CEEA">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684" w:type="dxa"/>
            <w:tcMar>
              <w:top w:w="57" w:type="dxa"/>
              <w:bottom w:w="57" w:type="dxa"/>
            </w:tcMar>
            <w:vAlign w:val="center"/>
          </w:tcPr>
          <w:p w14:paraId="4162E600">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2</w:t>
            </w:r>
          </w:p>
          <w:p w14:paraId="5D929CE7">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r>
      <w:tr w14:paraId="1D45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59F27334">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275" w:type="dxa"/>
            <w:tcMar>
              <w:top w:w="57" w:type="dxa"/>
              <w:bottom w:w="57" w:type="dxa"/>
            </w:tcMar>
            <w:vAlign w:val="center"/>
          </w:tcPr>
          <w:p w14:paraId="47783020">
            <w:pPr>
              <w:jc w:val="center"/>
              <w:rPr>
                <w:rFonts w:ascii="仿宋_GB2312" w:hAnsi="仿宋_GB2312" w:eastAsia="仿宋_GB2312" w:cs="仿宋_GB2312"/>
                <w:szCs w:val="21"/>
              </w:rPr>
            </w:pPr>
            <w:r>
              <w:rPr>
                <w:rFonts w:hint="eastAsia" w:ascii="仿宋_GB2312" w:hAnsi="仿宋_GB2312" w:eastAsia="仿宋_GB2312" w:cs="仿宋_GB2312"/>
                <w:szCs w:val="21"/>
              </w:rPr>
              <w:t>纸张性能检测</w:t>
            </w:r>
          </w:p>
        </w:tc>
        <w:tc>
          <w:tcPr>
            <w:tcW w:w="2733" w:type="dxa"/>
            <w:tcMar>
              <w:top w:w="57" w:type="dxa"/>
              <w:bottom w:w="57" w:type="dxa"/>
            </w:tcMar>
            <w:vAlign w:val="center"/>
          </w:tcPr>
          <w:p w14:paraId="2B5EA4CC">
            <w:pPr>
              <w:rPr>
                <w:rFonts w:ascii="仿宋_GB2312" w:hAnsi="仿宋_GB2312" w:eastAsia="仿宋_GB2312" w:cs="仿宋_GB2312"/>
                <w:szCs w:val="21"/>
              </w:rPr>
            </w:pPr>
            <w:r>
              <w:rPr>
                <w:rFonts w:hint="eastAsia" w:ascii="仿宋_GB2312" w:hAnsi="仿宋_GB2312" w:eastAsia="仿宋_GB2312" w:cs="仿宋_GB2312"/>
                <w:szCs w:val="21"/>
              </w:rPr>
              <w:t>掌握各种常用纸样检测仪器的操作方法、测定原理；掌握各种物理性能指标测定结果的计算与处理，能够运用数学思维分析蒸煮、漂白、打浆对纸张各项性能指标的影响。</w:t>
            </w:r>
          </w:p>
        </w:tc>
        <w:tc>
          <w:tcPr>
            <w:tcW w:w="608" w:type="dxa"/>
            <w:tcMar>
              <w:top w:w="57" w:type="dxa"/>
              <w:bottom w:w="57" w:type="dxa"/>
            </w:tcMar>
            <w:vAlign w:val="center"/>
          </w:tcPr>
          <w:p w14:paraId="3F913A11">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48" w:type="dxa"/>
            <w:tcMar>
              <w:top w:w="57" w:type="dxa"/>
              <w:bottom w:w="57" w:type="dxa"/>
            </w:tcMar>
            <w:vAlign w:val="center"/>
          </w:tcPr>
          <w:p w14:paraId="4B09C6B5">
            <w:pPr>
              <w:jc w:val="center"/>
              <w:rPr>
                <w:rFonts w:ascii="仿宋_GB2312" w:hAnsi="仿宋_GB2312" w:eastAsia="仿宋_GB2312" w:cs="仿宋_GB2312"/>
                <w:szCs w:val="21"/>
              </w:rPr>
            </w:pPr>
            <w:r>
              <w:rPr>
                <w:rFonts w:hint="eastAsia" w:ascii="仿宋_GB2312" w:hAnsi="仿宋_GB2312" w:eastAsia="仿宋_GB2312" w:cs="仿宋_GB2312"/>
                <w:szCs w:val="21"/>
              </w:rPr>
              <w:t>综合性</w:t>
            </w:r>
          </w:p>
        </w:tc>
        <w:tc>
          <w:tcPr>
            <w:tcW w:w="792" w:type="dxa"/>
            <w:tcMar>
              <w:top w:w="57" w:type="dxa"/>
              <w:bottom w:w="57" w:type="dxa"/>
            </w:tcMar>
            <w:vAlign w:val="center"/>
          </w:tcPr>
          <w:p w14:paraId="7498961E">
            <w:pPr>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专业类</w:t>
            </w:r>
          </w:p>
        </w:tc>
        <w:tc>
          <w:tcPr>
            <w:tcW w:w="790" w:type="dxa"/>
            <w:tcMar>
              <w:top w:w="57" w:type="dxa"/>
              <w:bottom w:w="57" w:type="dxa"/>
            </w:tcMar>
            <w:vAlign w:val="center"/>
          </w:tcPr>
          <w:p w14:paraId="6FF080EA">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684" w:type="dxa"/>
            <w:tcMar>
              <w:top w:w="57" w:type="dxa"/>
              <w:bottom w:w="57" w:type="dxa"/>
            </w:tcMar>
            <w:vAlign w:val="center"/>
          </w:tcPr>
          <w:p w14:paraId="53E4D03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课程目标1</w:t>
            </w:r>
          </w:p>
          <w:p w14:paraId="6CBAEACF">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r>
      <w:tr w14:paraId="593C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14" w:type="dxa"/>
            <w:gridSpan w:val="3"/>
            <w:tcMar>
              <w:top w:w="57" w:type="dxa"/>
              <w:bottom w:w="57" w:type="dxa"/>
            </w:tcMar>
            <w:vAlign w:val="center"/>
          </w:tcPr>
          <w:p w14:paraId="6A05054B">
            <w:pPr>
              <w:jc w:val="center"/>
              <w:rPr>
                <w:rFonts w:asciiTheme="majorEastAsia" w:hAnsiTheme="majorEastAsia" w:eastAsiaTheme="majorEastAsia"/>
                <w:b/>
                <w:snapToGrid w:val="0"/>
                <w:kern w:val="0"/>
                <w:szCs w:val="21"/>
              </w:rPr>
            </w:pPr>
            <w:r>
              <w:rPr>
                <w:rFonts w:hint="eastAsia" w:ascii="微软雅黑" w:hAnsi="微软雅黑" w:eastAsia="微软雅黑" w:cs="微软雅黑"/>
                <w:szCs w:val="21"/>
              </w:rPr>
              <w:t>合  计</w:t>
            </w:r>
          </w:p>
        </w:tc>
        <w:tc>
          <w:tcPr>
            <w:tcW w:w="608" w:type="dxa"/>
            <w:tcMar>
              <w:top w:w="57" w:type="dxa"/>
              <w:bottom w:w="57" w:type="dxa"/>
            </w:tcMar>
            <w:vAlign w:val="center"/>
          </w:tcPr>
          <w:p w14:paraId="03098980">
            <w:pPr>
              <w:jc w:val="center"/>
              <w:rPr>
                <w:rFonts w:asciiTheme="majorEastAsia" w:hAnsiTheme="majorEastAsia" w:eastAsiaTheme="majorEastAsia"/>
                <w:snapToGrid w:val="0"/>
                <w:kern w:val="0"/>
                <w:szCs w:val="21"/>
              </w:rPr>
            </w:pPr>
          </w:p>
        </w:tc>
        <w:tc>
          <w:tcPr>
            <w:tcW w:w="4014" w:type="dxa"/>
            <w:gridSpan w:val="4"/>
            <w:tcMar>
              <w:top w:w="57" w:type="dxa"/>
              <w:bottom w:w="57" w:type="dxa"/>
            </w:tcMar>
            <w:vAlign w:val="center"/>
          </w:tcPr>
          <w:p w14:paraId="7EFC5486">
            <w:pPr>
              <w:jc w:val="center"/>
              <w:rPr>
                <w:rFonts w:hint="eastAsia" w:asciiTheme="majorEastAsia" w:hAnsiTheme="majorEastAsia" w:eastAsiaTheme="majorEastAsia"/>
                <w:snapToGrid w:val="0"/>
                <w:kern w:val="0"/>
                <w:szCs w:val="21"/>
                <w:lang w:val="en-US" w:eastAsia="zh-CN"/>
              </w:rPr>
            </w:pPr>
            <w:r>
              <w:rPr>
                <w:rFonts w:hint="eastAsia" w:asciiTheme="majorEastAsia" w:hAnsiTheme="majorEastAsia" w:eastAsiaTheme="majorEastAsia"/>
                <w:b/>
                <w:bCs/>
                <w:snapToGrid w:val="0"/>
                <w:color w:val="000000" w:themeColor="text1"/>
                <w:kern w:val="0"/>
                <w:szCs w:val="21"/>
                <w:lang w:val="en-US" w:eastAsia="zh-CN"/>
                <w14:textFill>
                  <w14:solidFill>
                    <w14:schemeClr w14:val="tx1"/>
                  </w14:solidFill>
                </w14:textFill>
              </w:rPr>
              <w:t>/</w:t>
            </w:r>
          </w:p>
        </w:tc>
      </w:tr>
    </w:tbl>
    <w:p w14:paraId="56B813E1">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七、实验成果呈现要求</w:t>
      </w:r>
    </w:p>
    <w:p w14:paraId="59B482FF">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实验预习报告</w:t>
      </w:r>
    </w:p>
    <w:p w14:paraId="59938C2A">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实验预习报告应在实验前提交，以体现学生对实验内容的了解和准备情况</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报告应简明扼要，内容清晰，条理分明。内容</w:t>
      </w:r>
      <w:r>
        <w:rPr>
          <w:rFonts w:hint="eastAsia" w:ascii="仿宋_GB2312" w:hAnsi="仿宋_GB2312" w:eastAsia="仿宋_GB2312" w:cs="仿宋_GB2312"/>
          <w:color w:val="auto"/>
          <w:sz w:val="24"/>
          <w:lang w:val="en-US" w:eastAsia="zh-CN"/>
        </w:rPr>
        <w:t>包括</w:t>
      </w:r>
      <w:r>
        <w:rPr>
          <w:rFonts w:hint="eastAsia" w:ascii="仿宋_GB2312" w:hAnsi="仿宋_GB2312" w:eastAsia="仿宋_GB2312" w:cs="仿宋_GB2312"/>
          <w:color w:val="auto"/>
          <w:sz w:val="24"/>
        </w:rPr>
        <w:t>：实验目的</w:t>
      </w:r>
      <w:r>
        <w:rPr>
          <w:rFonts w:hint="eastAsia" w:ascii="仿宋_GB2312" w:hAnsi="仿宋_GB2312" w:eastAsia="仿宋_GB2312" w:cs="仿宋_GB2312"/>
          <w:color w:val="auto"/>
          <w:sz w:val="24"/>
          <w:lang w:val="en-US" w:eastAsia="zh-CN"/>
        </w:rPr>
        <w:t>与要求</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实验原理</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实验</w:t>
      </w:r>
      <w:r>
        <w:rPr>
          <w:rFonts w:hint="eastAsia" w:ascii="仿宋_GB2312" w:hAnsi="仿宋_GB2312" w:eastAsia="仿宋_GB2312" w:cs="仿宋_GB2312"/>
          <w:color w:val="auto"/>
          <w:sz w:val="24"/>
          <w:lang w:val="en-US" w:eastAsia="zh-CN"/>
        </w:rPr>
        <w:t>方法与</w:t>
      </w:r>
      <w:r>
        <w:rPr>
          <w:rFonts w:hint="eastAsia" w:ascii="仿宋_GB2312" w:hAnsi="仿宋_GB2312" w:eastAsia="仿宋_GB2312" w:cs="仿宋_GB2312"/>
          <w:color w:val="auto"/>
          <w:sz w:val="24"/>
        </w:rPr>
        <w:t>步骤</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实验数据记录表格、预习中遇到的问题</w:t>
      </w:r>
      <w:r>
        <w:rPr>
          <w:rFonts w:hint="eastAsia" w:ascii="仿宋_GB2312" w:hAnsi="仿宋_GB2312" w:eastAsia="仿宋_GB2312" w:cs="仿宋_GB2312"/>
          <w:color w:val="auto"/>
          <w:sz w:val="24"/>
          <w:lang w:eastAsia="zh-CN"/>
        </w:rPr>
        <w:t>。</w:t>
      </w:r>
    </w:p>
    <w:p w14:paraId="18C8390C">
      <w:pPr>
        <w:spacing w:line="360" w:lineRule="auto"/>
        <w:ind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 实验记录</w:t>
      </w:r>
    </w:p>
    <w:p w14:paraId="0D846A2A">
      <w:pPr>
        <w:spacing w:line="360" w:lineRule="auto"/>
        <w:ind w:firstLine="480" w:firstLineChars="200"/>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实验记录应实时、准确、详细地记录实验过程中的各种现象和数据。记录应使用统一的格式和符号，便于后续分析和整理。内容</w:t>
      </w:r>
      <w:r>
        <w:rPr>
          <w:rFonts w:hint="eastAsia" w:ascii="仿宋_GB2312" w:hAnsi="仿宋_GB2312" w:eastAsia="仿宋_GB2312" w:cs="仿宋_GB2312"/>
          <w:color w:val="auto"/>
          <w:sz w:val="24"/>
          <w:lang w:val="en-US" w:eastAsia="zh-CN"/>
        </w:rPr>
        <w:t>包括</w:t>
      </w:r>
      <w:r>
        <w:rPr>
          <w:rFonts w:hint="default" w:ascii="仿宋_GB2312" w:hAnsi="仿宋_GB2312" w:eastAsia="仿宋_GB2312" w:cs="仿宋_GB2312"/>
          <w:color w:val="auto"/>
          <w:sz w:val="24"/>
          <w:lang w:val="en-US" w:eastAsia="zh-CN"/>
        </w:rPr>
        <w:t>：实验步骤的详细记录，包括仪器设备的操作、试剂的加入量、反应现象等。记录应清晰、工整，数据应准确可靠，保留原始记录，避免伪造或篡改。</w:t>
      </w:r>
    </w:p>
    <w:p w14:paraId="6FDC2AF9">
      <w:pPr>
        <w:spacing w:line="360" w:lineRule="auto"/>
        <w:ind w:firstLine="480" w:firstLineChars="200"/>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w:t>
      </w:r>
      <w:r>
        <w:rPr>
          <w:rFonts w:hint="default" w:ascii="仿宋_GB2312" w:hAnsi="仿宋_GB2312" w:eastAsia="仿宋_GB2312" w:cs="仿宋_GB2312"/>
          <w:color w:val="auto"/>
          <w:sz w:val="24"/>
          <w:lang w:val="en-US" w:eastAsia="zh-CN"/>
        </w:rPr>
        <w:t>实验操作</w:t>
      </w:r>
    </w:p>
    <w:p w14:paraId="7B5AF44E">
      <w:pPr>
        <w:spacing w:line="360" w:lineRule="auto"/>
        <w:ind w:firstLine="480" w:firstLineChars="200"/>
        <w:jc w:val="left"/>
        <w:rPr>
          <w:rFonts w:hint="default" w:ascii="仿宋_GB2312" w:hAnsi="仿宋_GB2312" w:eastAsia="仿宋_GB2312" w:cs="仿宋_GB2312"/>
          <w:color w:val="auto"/>
          <w:sz w:val="24"/>
          <w:lang w:val="en-US" w:eastAsia="zh-CN"/>
        </w:rPr>
      </w:pPr>
      <w:r>
        <w:rPr>
          <w:rFonts w:hint="default" w:ascii="仿宋_GB2312" w:hAnsi="仿宋_GB2312" w:eastAsia="仿宋_GB2312" w:cs="仿宋_GB2312"/>
          <w:color w:val="auto"/>
          <w:sz w:val="24"/>
          <w:lang w:val="en-US" w:eastAsia="zh-CN"/>
        </w:rPr>
        <w:t>实验操作应严格按照实验步骤和操作规程进行。操作过程中应注意安全，遵守实验室规章制度。</w:t>
      </w:r>
    </w:p>
    <w:p w14:paraId="3551E736">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实验报告</w:t>
      </w:r>
    </w:p>
    <w:p w14:paraId="5DD04901">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实验报告应在实验完成后提交，全面反映实验过程和结果。报告应详细、准确、客观，避免主观臆断和夸大其词。内容</w:t>
      </w:r>
      <w:r>
        <w:rPr>
          <w:rFonts w:hint="eastAsia" w:ascii="仿宋_GB2312" w:hAnsi="仿宋_GB2312" w:eastAsia="仿宋_GB2312" w:cs="仿宋_GB2312"/>
          <w:color w:val="auto"/>
          <w:sz w:val="24"/>
          <w:lang w:val="en-US" w:eastAsia="zh-CN"/>
        </w:rPr>
        <w:t>包括：</w:t>
      </w:r>
      <w:r>
        <w:rPr>
          <w:rFonts w:hint="eastAsia" w:ascii="仿宋_GB2312" w:hAnsi="仿宋_GB2312" w:eastAsia="仿宋_GB2312" w:cs="仿宋_GB2312"/>
          <w:color w:val="auto"/>
          <w:sz w:val="24"/>
        </w:rPr>
        <w:t>实验目的与</w:t>
      </w:r>
      <w:r>
        <w:rPr>
          <w:rFonts w:hint="eastAsia" w:ascii="仿宋_GB2312" w:hAnsi="仿宋_GB2312" w:eastAsia="仿宋_GB2312" w:cs="仿宋_GB2312"/>
          <w:color w:val="auto"/>
          <w:sz w:val="24"/>
          <w:lang w:val="en-US" w:eastAsia="zh-CN"/>
        </w:rPr>
        <w:t>要求、实验原理、主要仪器、设备与材料、实验方法与步骤、实验数据记录、处理及结果分析、讨论与心得</w:t>
      </w:r>
      <w:r>
        <w:rPr>
          <w:rFonts w:hint="eastAsia" w:ascii="仿宋_GB2312" w:hAnsi="仿宋_GB2312" w:eastAsia="仿宋_GB2312" w:cs="仿宋_GB2312"/>
          <w:color w:val="auto"/>
          <w:sz w:val="24"/>
        </w:rPr>
        <w:t>，并详细解释实验原理。</w:t>
      </w:r>
      <w:r>
        <w:rPr>
          <w:rFonts w:hint="eastAsia" w:ascii="仿宋_GB2312" w:hAnsi="仿宋_GB2312" w:eastAsia="仿宋_GB2312" w:cs="仿宋_GB2312"/>
          <w:color w:val="auto"/>
          <w:sz w:val="24"/>
          <w:lang w:val="en-US" w:eastAsia="zh-CN"/>
        </w:rPr>
        <w:t>实验报告中</w:t>
      </w:r>
      <w:r>
        <w:rPr>
          <w:rFonts w:hint="eastAsia" w:ascii="仿宋_GB2312" w:hAnsi="仿宋_GB2312" w:eastAsia="仿宋_GB2312" w:cs="仿宋_GB2312"/>
          <w:color w:val="auto"/>
          <w:sz w:val="24"/>
        </w:rPr>
        <w:t>图表应清晰、准确，标注明确，数据应与实验记录一致。</w:t>
      </w:r>
    </w:p>
    <w:p w14:paraId="65835BA4">
      <w:pPr>
        <w:spacing w:line="360" w:lineRule="auto"/>
        <w:ind w:firstLine="482" w:firstLineChars="200"/>
        <w:rPr>
          <w:b/>
          <w:sz w:val="24"/>
        </w:rPr>
      </w:pPr>
      <w:r>
        <w:rPr>
          <w:rFonts w:hint="eastAsia" w:ascii="黑体" w:hAnsi="黑体" w:eastAsia="黑体" w:cs="黑体"/>
          <w:b/>
          <w:sz w:val="24"/>
        </w:rPr>
        <w:t>八、学业评价和课程考核</w:t>
      </w:r>
    </w:p>
    <w:p w14:paraId="56A94D5B">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（一）考核类型：</w:t>
      </w:r>
      <w:r>
        <w:rPr>
          <w:rFonts w:hint="eastAsia" w:ascii="仿宋_GB2312" w:hAnsi="仿宋_GB2312" w:eastAsia="仿宋_GB2312" w:cs="仿宋_GB2312"/>
          <w:sz w:val="24"/>
        </w:rPr>
        <w:sym w:font="Wingdings" w:char="F0A8"/>
      </w:r>
      <w:r>
        <w:rPr>
          <w:rFonts w:hint="eastAsia" w:ascii="仿宋_GB2312" w:hAnsi="仿宋_GB2312" w:eastAsia="仿宋_GB2312" w:cs="仿宋_GB2312"/>
          <w:sz w:val="24"/>
        </w:rPr>
        <w:t xml:space="preserve">考试    </w:t>
      </w:r>
      <w:r>
        <w:rPr>
          <w:rFonts w:hint="eastAsia" w:ascii="仿宋_GB2312" w:hAnsi="仿宋_GB2312" w:eastAsia="仿宋_GB2312" w:cs="仿宋_GB2312"/>
          <w:sz w:val="24"/>
        </w:rPr>
        <w:sym w:font="Wingdings" w:char="00FE"/>
      </w:r>
      <w:r>
        <w:rPr>
          <w:rFonts w:hint="eastAsia" w:ascii="仿宋_GB2312" w:hAnsi="仿宋_GB2312" w:eastAsia="仿宋_GB2312" w:cs="仿宋_GB2312"/>
          <w:sz w:val="24"/>
        </w:rPr>
        <w:t>考查</w:t>
      </w:r>
    </w:p>
    <w:p w14:paraId="3B112C2B">
      <w:pPr>
        <w:spacing w:line="360" w:lineRule="auto"/>
        <w:ind w:firstLine="480" w:firstLineChars="200"/>
        <w:jc w:val="left"/>
        <w:rPr>
          <w:rFonts w:ascii="宋体" w:hAnsi="宋体"/>
          <w:sz w:val="24"/>
        </w:rPr>
      </w:pPr>
      <w:r>
        <w:rPr>
          <w:rFonts w:hint="eastAsia" w:ascii="仿宋_GB2312" w:hAnsi="仿宋_GB2312" w:eastAsia="仿宋_GB2312" w:cs="仿宋_GB2312"/>
          <w:sz w:val="24"/>
        </w:rPr>
        <w:t>（二）考核方式：</w:t>
      </w:r>
      <w:r>
        <w:rPr>
          <w:rFonts w:hint="eastAsia" w:ascii="仿宋_GB2312" w:hAnsi="仿宋_GB2312" w:eastAsia="仿宋_GB2312" w:cs="仿宋_GB2312"/>
          <w:sz w:val="24"/>
        </w:rPr>
        <w:sym w:font="Wingdings" w:char="00FE"/>
      </w:r>
      <w:r>
        <w:rPr>
          <w:rFonts w:hint="eastAsia" w:ascii="仿宋_GB2312" w:hAnsi="仿宋_GB2312" w:eastAsia="仿宋_GB2312" w:cs="仿宋_GB2312"/>
          <w:sz w:val="24"/>
        </w:rPr>
        <w:t xml:space="preserve">实验报告    </w:t>
      </w:r>
      <w:r>
        <w:rPr>
          <w:rFonts w:hint="eastAsia" w:ascii="仿宋_GB2312" w:hAnsi="仿宋_GB2312" w:eastAsia="仿宋_GB2312" w:cs="仿宋_GB2312"/>
          <w:sz w:val="24"/>
        </w:rPr>
        <w:sym w:font="Wingdings" w:char="F0A8"/>
      </w:r>
      <w:r>
        <w:rPr>
          <w:rFonts w:hint="eastAsia" w:ascii="仿宋_GB2312" w:hAnsi="仿宋_GB2312" w:eastAsia="仿宋_GB2312" w:cs="仿宋_GB2312"/>
          <w:sz w:val="24"/>
        </w:rPr>
        <w:t>实验作品</w:t>
      </w:r>
    </w:p>
    <w:p w14:paraId="6666613B">
      <w:pPr>
        <w:spacing w:line="360" w:lineRule="auto"/>
        <w:ind w:firstLine="2400" w:firstLineChars="1000"/>
        <w:jc w:val="left"/>
        <w:rPr>
          <w:rFonts w:ascii="宋体" w:hAnsi="宋体"/>
          <w:sz w:val="24"/>
        </w:rPr>
      </w:pPr>
      <w:r>
        <w:rPr>
          <w:rFonts w:hint="eastAsia" w:ascii="仿宋_GB2312" w:hAnsi="仿宋_GB2312" w:eastAsia="仿宋_GB2312" w:cs="仿宋_GB2312"/>
          <w:sz w:val="24"/>
        </w:rPr>
        <w:sym w:font="Wingdings" w:char="00A8"/>
      </w:r>
      <w:r>
        <w:rPr>
          <w:rFonts w:hint="eastAsia" w:ascii="仿宋_GB2312" w:hAnsi="仿宋_GB2312" w:eastAsia="仿宋_GB2312" w:cs="仿宋_GB2312"/>
          <w:sz w:val="24"/>
        </w:rPr>
        <w:t>其它：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（填写具体考核方式）</w:t>
      </w:r>
    </w:p>
    <w:p w14:paraId="7973FF9C">
      <w:pPr>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highlight w:val="none"/>
        </w:rPr>
        <w:t>（三）考核内容和考核方式对课程目标的支撑：</w:t>
      </w:r>
    </w:p>
    <w:tbl>
      <w:tblPr>
        <w:tblStyle w:val="7"/>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3519"/>
        <w:gridCol w:w="881"/>
        <w:gridCol w:w="796"/>
        <w:gridCol w:w="797"/>
        <w:gridCol w:w="785"/>
        <w:gridCol w:w="771"/>
      </w:tblGrid>
      <w:tr w14:paraId="4223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37" w:type="dxa"/>
            <w:vMerge w:val="restart"/>
            <w:vAlign w:val="center"/>
          </w:tcPr>
          <w:p w14:paraId="19078FB1">
            <w:pPr>
              <w:adjustRightInd w:val="0"/>
              <w:snapToGrid w:val="0"/>
              <w:jc w:val="center"/>
              <w:rPr>
                <w:rFonts w:ascii="黑体" w:hAnsi="黑体" w:eastAsia="黑体" w:cs="黑体"/>
                <w:b/>
                <w:sz w:val="24"/>
              </w:rPr>
            </w:pPr>
            <w:r>
              <w:rPr>
                <w:rFonts w:hint="eastAsia" w:ascii="黑体" w:hAnsi="黑体" w:eastAsia="黑体" w:cs="黑体"/>
                <w:b/>
                <w:sz w:val="24"/>
              </w:rPr>
              <w:t>课程目标</w:t>
            </w:r>
          </w:p>
        </w:tc>
        <w:tc>
          <w:tcPr>
            <w:tcW w:w="3519" w:type="dxa"/>
            <w:vMerge w:val="restart"/>
            <w:vAlign w:val="center"/>
          </w:tcPr>
          <w:p w14:paraId="516B4253">
            <w:pPr>
              <w:adjustRightInd w:val="0"/>
              <w:snapToGrid w:val="0"/>
              <w:jc w:val="center"/>
              <w:rPr>
                <w:b/>
                <w:sz w:val="18"/>
                <w:szCs w:val="18"/>
              </w:rPr>
            </w:pPr>
            <w:r>
              <w:rPr>
                <w:rFonts w:hint="eastAsia" w:ascii="黑体" w:hAnsi="黑体" w:eastAsia="黑体" w:cs="黑体"/>
                <w:b/>
                <w:sz w:val="24"/>
              </w:rPr>
              <w:t>考核内容</w:t>
            </w:r>
          </w:p>
        </w:tc>
        <w:tc>
          <w:tcPr>
            <w:tcW w:w="4030" w:type="dxa"/>
            <w:gridSpan w:val="5"/>
            <w:vAlign w:val="center"/>
          </w:tcPr>
          <w:p w14:paraId="5697C112">
            <w:pPr>
              <w:adjustRightInd w:val="0"/>
              <w:snapToGrid w:val="0"/>
              <w:jc w:val="center"/>
              <w:rPr>
                <w:rFonts w:ascii="黑体" w:hAnsi="黑体" w:eastAsia="黑体" w:cs="黑体"/>
                <w:b/>
                <w:sz w:val="24"/>
              </w:rPr>
            </w:pPr>
            <w:r>
              <w:rPr>
                <w:rFonts w:hint="eastAsia" w:ascii="黑体" w:hAnsi="黑体" w:eastAsia="黑体" w:cs="黑体"/>
                <w:b/>
                <w:sz w:val="24"/>
              </w:rPr>
              <w:t>考核方式</w:t>
            </w:r>
          </w:p>
          <w:p w14:paraId="38DE9CE9">
            <w:pPr>
              <w:adjustRightInd w:val="0"/>
              <w:snapToGrid w:val="0"/>
              <w:jc w:val="center"/>
              <w:rPr>
                <w:rFonts w:ascii="黑体" w:hAnsi="黑体" w:eastAsia="黑体" w:cs="黑体"/>
                <w:b/>
                <w:sz w:val="24"/>
              </w:rPr>
            </w:pPr>
            <w:r>
              <w:rPr>
                <w:rFonts w:hint="eastAsia" w:ascii="黑体" w:hAnsi="黑体" w:eastAsia="黑体" w:cs="黑体"/>
                <w:b/>
                <w:sz w:val="24"/>
              </w:rPr>
              <w:t>（建议分值/%）</w:t>
            </w:r>
          </w:p>
        </w:tc>
      </w:tr>
      <w:tr w14:paraId="15E7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37" w:type="dxa"/>
            <w:vMerge w:val="continue"/>
            <w:vAlign w:val="center"/>
          </w:tcPr>
          <w:p w14:paraId="3A544E2C">
            <w:pPr>
              <w:adjustRightInd w:val="0"/>
              <w:snapToGrid w:val="0"/>
              <w:jc w:val="center"/>
              <w:rPr>
                <w:b/>
                <w:sz w:val="18"/>
                <w:szCs w:val="18"/>
              </w:rPr>
            </w:pPr>
          </w:p>
        </w:tc>
        <w:tc>
          <w:tcPr>
            <w:tcW w:w="3519" w:type="dxa"/>
            <w:vMerge w:val="continue"/>
            <w:vAlign w:val="center"/>
          </w:tcPr>
          <w:p w14:paraId="149CE188">
            <w:pPr>
              <w:adjustRightInd w:val="0"/>
              <w:snapToGrid w:val="0"/>
              <w:jc w:val="center"/>
              <w:rPr>
                <w:b/>
                <w:sz w:val="18"/>
                <w:szCs w:val="18"/>
              </w:rPr>
            </w:pPr>
          </w:p>
        </w:tc>
        <w:tc>
          <w:tcPr>
            <w:tcW w:w="881" w:type="dxa"/>
            <w:vAlign w:val="center"/>
          </w:tcPr>
          <w:p w14:paraId="3A6DA35D">
            <w:pPr>
              <w:adjustRightInd w:val="0"/>
              <w:snapToGrid w:val="0"/>
              <w:jc w:val="center"/>
              <w:rPr>
                <w:rFonts w:ascii="黑体" w:hAnsi="黑体" w:eastAsia="黑体" w:cs="黑体"/>
                <w:b/>
                <w:sz w:val="24"/>
              </w:rPr>
            </w:pPr>
            <w:r>
              <w:rPr>
                <w:rFonts w:hint="eastAsia" w:ascii="黑体" w:hAnsi="黑体" w:eastAsia="黑体" w:cs="黑体"/>
                <w:b/>
                <w:sz w:val="24"/>
              </w:rPr>
              <w:t>实验</w:t>
            </w:r>
          </w:p>
          <w:p w14:paraId="1EBF012F">
            <w:pPr>
              <w:adjustRightInd w:val="0"/>
              <w:snapToGrid w:val="0"/>
              <w:jc w:val="center"/>
              <w:rPr>
                <w:rFonts w:ascii="黑体" w:hAnsi="黑体" w:eastAsia="黑体" w:cs="黑体"/>
                <w:b/>
                <w:sz w:val="24"/>
              </w:rPr>
            </w:pPr>
            <w:r>
              <w:rPr>
                <w:rFonts w:hint="eastAsia" w:ascii="黑体" w:hAnsi="黑体" w:eastAsia="黑体" w:cs="黑体"/>
                <w:b/>
                <w:sz w:val="24"/>
              </w:rPr>
              <w:t>预习</w:t>
            </w:r>
          </w:p>
        </w:tc>
        <w:tc>
          <w:tcPr>
            <w:tcW w:w="796" w:type="dxa"/>
            <w:vAlign w:val="center"/>
          </w:tcPr>
          <w:p w14:paraId="5516E668">
            <w:pPr>
              <w:adjustRightInd w:val="0"/>
              <w:snapToGrid w:val="0"/>
              <w:jc w:val="center"/>
              <w:rPr>
                <w:rFonts w:hint="eastAsia" w:ascii="黑体" w:hAnsi="黑体" w:eastAsia="黑体" w:cs="黑体"/>
                <w:b/>
                <w:sz w:val="24"/>
                <w:lang w:val="en-US" w:eastAsia="zh-CN"/>
              </w:rPr>
            </w:pPr>
            <w:r>
              <w:rPr>
                <w:rFonts w:hint="eastAsia" w:ascii="黑体" w:hAnsi="黑体" w:eastAsia="黑体" w:cs="黑体"/>
                <w:b/>
                <w:sz w:val="24"/>
              </w:rPr>
              <w:t>实验</w:t>
            </w:r>
            <w:r>
              <w:rPr>
                <w:rFonts w:hint="eastAsia" w:ascii="黑体" w:hAnsi="黑体" w:eastAsia="黑体" w:cs="黑体"/>
                <w:b/>
                <w:sz w:val="24"/>
                <w:lang w:val="en-US" w:eastAsia="zh-CN"/>
              </w:rPr>
              <w:t>记录</w:t>
            </w:r>
          </w:p>
        </w:tc>
        <w:tc>
          <w:tcPr>
            <w:tcW w:w="797" w:type="dxa"/>
            <w:vAlign w:val="center"/>
          </w:tcPr>
          <w:p w14:paraId="31358D4D">
            <w:pPr>
              <w:adjustRightInd w:val="0"/>
              <w:snapToGrid w:val="0"/>
              <w:jc w:val="center"/>
              <w:rPr>
                <w:rFonts w:hint="eastAsia" w:ascii="黑体" w:hAnsi="黑体" w:eastAsia="黑体" w:cs="黑体"/>
                <w:b/>
                <w:sz w:val="24"/>
                <w:lang w:val="en-US" w:eastAsia="zh-CN"/>
              </w:rPr>
            </w:pPr>
            <w:r>
              <w:rPr>
                <w:rFonts w:hint="eastAsia" w:ascii="黑体" w:hAnsi="黑体" w:eastAsia="黑体" w:cs="黑体"/>
                <w:b/>
                <w:sz w:val="24"/>
              </w:rPr>
              <w:t>实验</w:t>
            </w:r>
            <w:r>
              <w:rPr>
                <w:rFonts w:hint="eastAsia" w:ascii="黑体" w:hAnsi="黑体" w:eastAsia="黑体" w:cs="黑体"/>
                <w:b/>
                <w:sz w:val="24"/>
                <w:lang w:val="en-US" w:eastAsia="zh-CN"/>
              </w:rPr>
              <w:t>操作</w:t>
            </w:r>
          </w:p>
        </w:tc>
        <w:tc>
          <w:tcPr>
            <w:tcW w:w="785" w:type="dxa"/>
            <w:vAlign w:val="center"/>
          </w:tcPr>
          <w:p w14:paraId="6A6D0082">
            <w:pPr>
              <w:adjustRightInd w:val="0"/>
              <w:snapToGrid w:val="0"/>
              <w:jc w:val="center"/>
              <w:rPr>
                <w:rFonts w:ascii="黑体" w:hAnsi="黑体" w:eastAsia="黑体" w:cs="黑体"/>
                <w:b/>
                <w:sz w:val="24"/>
              </w:rPr>
            </w:pPr>
            <w:r>
              <w:rPr>
                <w:rFonts w:hint="eastAsia" w:ascii="黑体" w:hAnsi="黑体" w:eastAsia="黑体" w:cs="黑体"/>
                <w:b/>
                <w:sz w:val="24"/>
              </w:rPr>
              <w:t>实验报告</w:t>
            </w:r>
          </w:p>
        </w:tc>
        <w:tc>
          <w:tcPr>
            <w:tcW w:w="771" w:type="dxa"/>
            <w:vAlign w:val="center"/>
          </w:tcPr>
          <w:p w14:paraId="3E1B8B36">
            <w:pPr>
              <w:adjustRightInd w:val="0"/>
              <w:snapToGrid w:val="0"/>
              <w:jc w:val="center"/>
              <w:rPr>
                <w:rFonts w:ascii="黑体" w:hAnsi="黑体" w:eastAsia="黑体" w:cs="黑体"/>
                <w:b/>
                <w:sz w:val="24"/>
              </w:rPr>
            </w:pPr>
            <w:r>
              <w:rPr>
                <w:rFonts w:hint="eastAsia" w:ascii="黑体" w:hAnsi="黑体" w:eastAsia="黑体" w:cs="黑体"/>
                <w:b/>
                <w:sz w:val="24"/>
              </w:rPr>
              <w:t>合计</w:t>
            </w:r>
          </w:p>
        </w:tc>
      </w:tr>
      <w:tr w14:paraId="3489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37" w:type="dxa"/>
            <w:vAlign w:val="center"/>
          </w:tcPr>
          <w:p w14:paraId="6AEE1EC4">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课程目标1</w:t>
            </w:r>
          </w:p>
        </w:tc>
        <w:tc>
          <w:tcPr>
            <w:tcW w:w="3519" w:type="dxa"/>
            <w:vAlign w:val="center"/>
          </w:tcPr>
          <w:p w14:paraId="1FFD8558">
            <w:pPr>
              <w:adjustRightInd w:val="0"/>
              <w:snapToGrid w:val="0"/>
              <w:jc w:val="both"/>
              <w:rPr>
                <w:rFonts w:hint="eastAsia" w:ascii="仿宋_GB2312" w:hAnsi="仿宋_GB2312" w:eastAsia="仿宋_GB2312" w:cs="仿宋_GB2312"/>
                <w:szCs w:val="21"/>
                <w:lang w:eastAsia="zh-CN"/>
              </w:rPr>
            </w:pPr>
            <w:r>
              <w:rPr>
                <w:rFonts w:hint="eastAsia" w:ascii="仿宋_GB2312" w:hAnsi="仿宋_GB2312" w:eastAsia="仿宋_GB2312" w:cs="仿宋_GB2312"/>
                <w:color w:val="auto"/>
                <w:szCs w:val="21"/>
              </w:rPr>
              <w:t>实验方案的制订；实验数据的记录、处理情况；对实验结果相关的复杂工程问题的深入分析和解决能力；实验纪律</w:t>
            </w:r>
            <w:r>
              <w:rPr>
                <w:rFonts w:hint="eastAsia" w:ascii="仿宋_GB2312" w:hAnsi="仿宋_GB2312" w:eastAsia="仿宋_GB2312" w:cs="仿宋_GB2312"/>
                <w:color w:val="auto"/>
                <w:szCs w:val="21"/>
                <w:lang w:eastAsia="zh-CN"/>
              </w:rPr>
              <w:t>。</w:t>
            </w:r>
          </w:p>
        </w:tc>
        <w:tc>
          <w:tcPr>
            <w:tcW w:w="881" w:type="dxa"/>
            <w:vAlign w:val="center"/>
          </w:tcPr>
          <w:p w14:paraId="10B95B16">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96" w:type="dxa"/>
            <w:vAlign w:val="center"/>
          </w:tcPr>
          <w:p w14:paraId="6FA11F33">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97" w:type="dxa"/>
            <w:vAlign w:val="center"/>
          </w:tcPr>
          <w:p w14:paraId="72CB16DC">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85" w:type="dxa"/>
            <w:vAlign w:val="center"/>
          </w:tcPr>
          <w:p w14:paraId="502F78E4">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771" w:type="dxa"/>
            <w:vAlign w:val="center"/>
          </w:tcPr>
          <w:p w14:paraId="65D10DD7">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r>
      <w:tr w14:paraId="372E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37" w:type="dxa"/>
            <w:vAlign w:val="center"/>
          </w:tcPr>
          <w:p w14:paraId="58794881">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课程目标2</w:t>
            </w:r>
          </w:p>
        </w:tc>
        <w:tc>
          <w:tcPr>
            <w:tcW w:w="3519" w:type="dxa"/>
            <w:vAlign w:val="center"/>
          </w:tcPr>
          <w:p w14:paraId="2EA768A9">
            <w:pPr>
              <w:adjustRightInd w:val="0"/>
              <w:snapToGrid w:val="0"/>
              <w:jc w:val="both"/>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实验操作；实验数据的记录、处理情况；运用数学思维分析指标数据产生的原因并能反馈于指导、优化制浆造纸工艺过程；实验纪律。</w:t>
            </w:r>
          </w:p>
        </w:tc>
        <w:tc>
          <w:tcPr>
            <w:tcW w:w="881" w:type="dxa"/>
            <w:vAlign w:val="center"/>
          </w:tcPr>
          <w:p w14:paraId="178567FC">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96" w:type="dxa"/>
            <w:vAlign w:val="center"/>
          </w:tcPr>
          <w:p w14:paraId="5852EFE9">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97" w:type="dxa"/>
            <w:vAlign w:val="center"/>
          </w:tcPr>
          <w:p w14:paraId="1BC7378D">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85" w:type="dxa"/>
            <w:vAlign w:val="center"/>
          </w:tcPr>
          <w:p w14:paraId="337A429D">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771" w:type="dxa"/>
            <w:vAlign w:val="center"/>
          </w:tcPr>
          <w:p w14:paraId="1A2FE29E">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r>
      <w:tr w14:paraId="5F34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437" w:type="dxa"/>
            <w:vAlign w:val="center"/>
          </w:tcPr>
          <w:p w14:paraId="39283C13">
            <w:pPr>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课程目标</w:t>
            </w:r>
            <w:r>
              <w:rPr>
                <w:rFonts w:hint="eastAsia" w:ascii="仿宋_GB2312" w:hAnsi="仿宋_GB2312" w:eastAsia="仿宋_GB2312" w:cs="仿宋_GB2312"/>
                <w:szCs w:val="21"/>
                <w:lang w:val="en-US" w:eastAsia="zh-CN"/>
              </w:rPr>
              <w:t>3</w:t>
            </w:r>
          </w:p>
        </w:tc>
        <w:tc>
          <w:tcPr>
            <w:tcW w:w="3519" w:type="dxa"/>
            <w:vAlign w:val="center"/>
          </w:tcPr>
          <w:p w14:paraId="3EAC0F03">
            <w:pPr>
              <w:adjustRightInd w:val="0"/>
              <w:snapToGrid w:val="0"/>
              <w:jc w:val="both"/>
              <w:rPr>
                <w:rFonts w:ascii="仿宋_GB2312" w:hAnsi="仿宋_GB2312" w:eastAsia="仿宋_GB2312" w:cs="仿宋_GB2312"/>
                <w:szCs w:val="21"/>
              </w:rPr>
            </w:pPr>
            <w:r>
              <w:rPr>
                <w:rFonts w:hint="eastAsia" w:ascii="仿宋_GB2312" w:hAnsi="仿宋_GB2312" w:eastAsia="仿宋_GB2312" w:cs="仿宋_GB2312"/>
                <w:szCs w:val="21"/>
              </w:rPr>
              <w:t>实验方案的制订；实验操作；实验数据的记录、处理情况；归纳总结实验工艺参数对实验结果的影响规律；并能够运用相关理论对实验工艺参数进行调节、对实验结果进行预测。</w:t>
            </w:r>
          </w:p>
        </w:tc>
        <w:tc>
          <w:tcPr>
            <w:tcW w:w="881" w:type="dxa"/>
            <w:vAlign w:val="center"/>
          </w:tcPr>
          <w:p w14:paraId="3DBF0118">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w:t>
            </w:r>
          </w:p>
        </w:tc>
        <w:tc>
          <w:tcPr>
            <w:tcW w:w="796" w:type="dxa"/>
            <w:vAlign w:val="center"/>
          </w:tcPr>
          <w:p w14:paraId="1DFAC4C2">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97" w:type="dxa"/>
            <w:vAlign w:val="center"/>
          </w:tcPr>
          <w:p w14:paraId="38016E3C">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85" w:type="dxa"/>
            <w:vAlign w:val="center"/>
          </w:tcPr>
          <w:p w14:paraId="71AC0D6E">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771" w:type="dxa"/>
            <w:vAlign w:val="center"/>
          </w:tcPr>
          <w:p w14:paraId="12C8F35B">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40</w:t>
            </w:r>
          </w:p>
        </w:tc>
      </w:tr>
      <w:tr w14:paraId="1BF9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956" w:type="dxa"/>
            <w:gridSpan w:val="2"/>
            <w:vAlign w:val="center"/>
          </w:tcPr>
          <w:p w14:paraId="5091CE53">
            <w:pPr>
              <w:adjustRightInd w:val="0"/>
              <w:snapToGrid w:val="0"/>
              <w:jc w:val="center"/>
              <w:rPr>
                <w:rFonts w:ascii="黑体" w:hAnsi="黑体" w:eastAsia="黑体" w:cs="黑体"/>
                <w:b/>
                <w:sz w:val="24"/>
              </w:rPr>
            </w:pPr>
            <w:r>
              <w:rPr>
                <w:rFonts w:hint="eastAsia" w:ascii="黑体" w:hAnsi="黑体" w:eastAsia="黑体" w:cs="黑体"/>
                <w:b/>
                <w:sz w:val="24"/>
              </w:rPr>
              <w:t>合计</w:t>
            </w:r>
          </w:p>
        </w:tc>
        <w:tc>
          <w:tcPr>
            <w:tcW w:w="881" w:type="dxa"/>
            <w:vAlign w:val="center"/>
          </w:tcPr>
          <w:p w14:paraId="34A568E9">
            <w:pPr>
              <w:adjustRightInd w:val="0"/>
              <w:snapToGrid w:val="0"/>
              <w:jc w:val="center"/>
              <w:rPr>
                <w:rFonts w:hint="default" w:ascii="黑体" w:hAnsi="黑体" w:eastAsia="黑体" w:cs="黑体"/>
                <w:b/>
                <w:sz w:val="24"/>
                <w:lang w:val="en-US" w:eastAsia="zh-CN"/>
              </w:rPr>
            </w:pPr>
            <w:r>
              <w:rPr>
                <w:rFonts w:hint="eastAsia" w:ascii="黑体" w:hAnsi="黑体" w:eastAsia="黑体" w:cs="黑体"/>
                <w:b/>
                <w:sz w:val="24"/>
                <w:lang w:val="en-US" w:eastAsia="zh-CN"/>
              </w:rPr>
              <w:t>20</w:t>
            </w:r>
          </w:p>
        </w:tc>
        <w:tc>
          <w:tcPr>
            <w:tcW w:w="796" w:type="dxa"/>
            <w:vAlign w:val="center"/>
          </w:tcPr>
          <w:p w14:paraId="2AEDF806">
            <w:pPr>
              <w:adjustRightInd w:val="0"/>
              <w:snapToGrid w:val="0"/>
              <w:jc w:val="center"/>
              <w:rPr>
                <w:rFonts w:hint="default" w:ascii="黑体" w:hAnsi="黑体" w:eastAsia="黑体" w:cs="黑体"/>
                <w:b/>
                <w:sz w:val="24"/>
                <w:lang w:val="en-US" w:eastAsia="zh-CN"/>
              </w:rPr>
            </w:pPr>
            <w:r>
              <w:rPr>
                <w:rFonts w:hint="eastAsia" w:ascii="黑体" w:hAnsi="黑体" w:eastAsia="黑体" w:cs="黑体"/>
                <w:b/>
                <w:sz w:val="24"/>
                <w:lang w:val="en-US" w:eastAsia="zh-CN"/>
              </w:rPr>
              <w:t>15</w:t>
            </w:r>
          </w:p>
        </w:tc>
        <w:tc>
          <w:tcPr>
            <w:tcW w:w="797" w:type="dxa"/>
            <w:vAlign w:val="center"/>
          </w:tcPr>
          <w:p w14:paraId="4B2CAD0E">
            <w:pPr>
              <w:adjustRightInd w:val="0"/>
              <w:snapToGrid w:val="0"/>
              <w:jc w:val="center"/>
              <w:rPr>
                <w:rFonts w:hint="default" w:ascii="黑体" w:hAnsi="黑体" w:eastAsia="黑体" w:cs="黑体"/>
                <w:b/>
                <w:sz w:val="24"/>
                <w:lang w:val="en-US" w:eastAsia="zh-CN"/>
              </w:rPr>
            </w:pPr>
            <w:r>
              <w:rPr>
                <w:rFonts w:hint="eastAsia" w:ascii="黑体" w:hAnsi="黑体" w:eastAsia="黑体" w:cs="黑体"/>
                <w:b/>
                <w:sz w:val="24"/>
                <w:lang w:val="en-US" w:eastAsia="zh-CN"/>
              </w:rPr>
              <w:t>15</w:t>
            </w:r>
          </w:p>
        </w:tc>
        <w:tc>
          <w:tcPr>
            <w:tcW w:w="785" w:type="dxa"/>
            <w:vAlign w:val="center"/>
          </w:tcPr>
          <w:p w14:paraId="74D91B23">
            <w:pPr>
              <w:adjustRightInd w:val="0"/>
              <w:snapToGrid w:val="0"/>
              <w:jc w:val="center"/>
              <w:rPr>
                <w:rFonts w:hint="default" w:ascii="黑体" w:hAnsi="黑体" w:eastAsia="黑体" w:cs="黑体"/>
                <w:b/>
                <w:sz w:val="24"/>
                <w:lang w:val="en-US" w:eastAsia="zh-CN"/>
              </w:rPr>
            </w:pPr>
            <w:r>
              <w:rPr>
                <w:rFonts w:hint="eastAsia" w:ascii="黑体" w:hAnsi="黑体" w:eastAsia="黑体" w:cs="黑体"/>
                <w:b/>
                <w:sz w:val="24"/>
                <w:lang w:val="en-US" w:eastAsia="zh-CN"/>
              </w:rPr>
              <w:t>50</w:t>
            </w:r>
          </w:p>
        </w:tc>
        <w:tc>
          <w:tcPr>
            <w:tcW w:w="771" w:type="dxa"/>
            <w:vAlign w:val="center"/>
          </w:tcPr>
          <w:p w14:paraId="6B8E4651">
            <w:pPr>
              <w:adjustRightInd w:val="0"/>
              <w:snapToGrid w:val="0"/>
              <w:jc w:val="center"/>
              <w:rPr>
                <w:rFonts w:ascii="黑体" w:hAnsi="黑体" w:eastAsia="黑体" w:cs="黑体"/>
                <w:b/>
                <w:sz w:val="24"/>
              </w:rPr>
            </w:pPr>
            <w:r>
              <w:rPr>
                <w:rFonts w:hint="eastAsia" w:ascii="黑体" w:hAnsi="黑体" w:eastAsia="黑体" w:cs="黑体"/>
                <w:b/>
                <w:sz w:val="24"/>
              </w:rPr>
              <w:t>10</w:t>
            </w:r>
            <w:r>
              <w:rPr>
                <w:rFonts w:hint="eastAsia" w:ascii="黑体" w:hAnsi="黑体" w:eastAsia="黑体" w:cs="黑体"/>
                <w:b/>
                <w:sz w:val="24"/>
                <w:lang w:val="en-US" w:eastAsia="zh-CN"/>
              </w:rPr>
              <w:t>0</w:t>
            </w:r>
            <w:r>
              <w:rPr>
                <w:rFonts w:hint="eastAsia" w:ascii="黑体" w:hAnsi="黑体" w:eastAsia="黑体" w:cs="黑体"/>
                <w:b/>
                <w:sz w:val="24"/>
              </w:rPr>
              <w:t>%</w:t>
            </w:r>
          </w:p>
        </w:tc>
      </w:tr>
    </w:tbl>
    <w:p w14:paraId="7F1A4889">
      <w:pPr>
        <w:spacing w:line="360" w:lineRule="auto"/>
        <w:ind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（四）考核/评价细则</w:t>
      </w:r>
    </w:p>
    <w:p w14:paraId="55DBF06C">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本课程考核评分标准分为4个部分：</w:t>
      </w:r>
      <w:r>
        <w:rPr>
          <w:rFonts w:hint="eastAsia" w:ascii="仿宋_GB2312" w:hAnsi="仿宋_GB2312" w:eastAsia="仿宋_GB2312" w:cs="仿宋_GB2312"/>
          <w:color w:val="auto"/>
          <w:sz w:val="24"/>
        </w:rPr>
        <w:tab/>
      </w:r>
    </w:p>
    <w:p w14:paraId="4A53A646">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（1）预习报告（20%）</w:t>
      </w:r>
    </w:p>
    <w:p w14:paraId="072507B0">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本部分由授课教师评定，主要考察学生预习报告的格式、工艺参数的设定及实验方案的制订情况。</w:t>
      </w:r>
    </w:p>
    <w:p w14:paraId="4E492043">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（2）实验记录（15%）</w:t>
      </w:r>
    </w:p>
    <w:p w14:paraId="50E23998">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本部分由课代表同学们评定，主要考察学生实验数据如实记录和提交情况。实验结束后要求学生应及时将本次实验数据提交至课代表处。</w:t>
      </w:r>
    </w:p>
    <w:p w14:paraId="4806AFD4">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（3）实验操作（15%）</w:t>
      </w:r>
    </w:p>
    <w:p w14:paraId="006D9868">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本部分由授课教师评定，学生在实验过程中应严格按照实验指导书进行，操作认真、规范，按要求完成实验任务，保证实验安全。</w:t>
      </w:r>
    </w:p>
    <w:p w14:paraId="7082DDA2">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（4）实验报告（50%）</w:t>
      </w:r>
    </w:p>
    <w:p w14:paraId="5B874719">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本部分由授课教师评定。实验报告格式为：①实验目的</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②实验原理</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③实验材料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④实验内容</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⑤实验数据与处理</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⑥结果与讨论。</w:t>
      </w:r>
    </w:p>
    <w:p w14:paraId="652E77E5">
      <w:pPr>
        <w:spacing w:line="360" w:lineRule="auto"/>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实验结束后应及时按要求撰写实验报告，书写工整，实验内容翔实，实验数据完全并按要求处理，并对本次实验过程进行一定的反思与总结。</w:t>
      </w:r>
    </w:p>
    <w:p w14:paraId="5AAA6976">
      <w:pPr>
        <w:spacing w:line="360" w:lineRule="auto"/>
        <w:ind w:firstLine="482" w:firstLineChars="200"/>
        <w:jc w:val="left"/>
        <w:rPr>
          <w:b/>
          <w:sz w:val="24"/>
        </w:rPr>
      </w:pPr>
      <w:r>
        <w:rPr>
          <w:rFonts w:hint="eastAsia" w:ascii="黑体" w:hAnsi="黑体" w:eastAsia="黑体" w:cs="黑体"/>
          <w:b/>
          <w:sz w:val="24"/>
          <w:lang w:val="en-US" w:eastAsia="zh-CN"/>
        </w:rPr>
        <w:t>九</w:t>
      </w:r>
      <w:r>
        <w:rPr>
          <w:rFonts w:hint="eastAsia" w:ascii="黑体" w:hAnsi="黑体" w:eastAsia="黑体" w:cs="黑体"/>
          <w:b/>
          <w:sz w:val="24"/>
        </w:rPr>
        <w:t>、课程目标达成评价</w:t>
      </w:r>
    </w:p>
    <w:p w14:paraId="3D4110CE">
      <w:pPr>
        <w:spacing w:line="360" w:lineRule="auto"/>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各学部（学院）根据各专业建设特色和课程建设目标制定课程目标达成度。</w:t>
      </w:r>
    </w:p>
    <w:p w14:paraId="3EBD395B">
      <w:pPr>
        <w:spacing w:line="360" w:lineRule="auto"/>
        <w:ind w:firstLine="482" w:firstLineChars="200"/>
        <w:jc w:val="left"/>
        <w:rPr>
          <w:rFonts w:ascii="黑体" w:hAnsi="黑体" w:eastAsia="黑体" w:cs="黑体"/>
          <w:b/>
          <w:sz w:val="24"/>
        </w:rPr>
      </w:pPr>
      <w:r>
        <w:rPr>
          <w:rFonts w:hint="eastAsia" w:ascii="黑体" w:hAnsi="黑体" w:eastAsia="黑体" w:cs="黑体"/>
          <w:b/>
          <w:sz w:val="24"/>
          <w:lang w:val="en-US" w:eastAsia="zh-CN"/>
        </w:rPr>
        <w:t>十、</w:t>
      </w:r>
      <w:r>
        <w:rPr>
          <w:rFonts w:hint="eastAsia" w:ascii="黑体" w:hAnsi="黑体" w:eastAsia="黑体" w:cs="黑体"/>
          <w:b/>
          <w:sz w:val="24"/>
        </w:rPr>
        <w:t>推荐教材和主要参考资料</w:t>
      </w:r>
    </w:p>
    <w:p w14:paraId="784018D2">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（一）推荐实验教材/实验指导书/实验讲义</w:t>
      </w:r>
    </w:p>
    <w:p w14:paraId="16AD656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1.《制浆造纸分析与检测》，石淑兰，中国轻工业出版社，</w:t>
      </w:r>
      <w:r>
        <w:rPr>
          <w:rFonts w:hint="eastAsia" w:ascii="仿宋_GB2312" w:hAnsi="仿宋_GB2312" w:eastAsia="仿宋_GB2312" w:cs="仿宋_GB2312"/>
          <w:sz w:val="24"/>
          <w:lang w:val="en-US" w:eastAsia="zh-CN"/>
        </w:rPr>
        <w:t>2009年1月</w:t>
      </w:r>
      <w:r>
        <w:rPr>
          <w:rFonts w:hint="eastAsia" w:ascii="仿宋_GB2312" w:hAnsi="仿宋_GB2312" w:eastAsia="仿宋_GB2312" w:cs="仿宋_GB2312"/>
          <w:sz w:val="24"/>
        </w:rPr>
        <w:t>。</w:t>
      </w:r>
    </w:p>
    <w:p w14:paraId="67DCB0E4">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（二）参考教材</w:t>
      </w:r>
    </w:p>
    <w:p w14:paraId="2D0A91D9">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制浆原理与工程</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第四版</w:t>
      </w:r>
      <w:r>
        <w:rPr>
          <w:rFonts w:hint="eastAsia" w:ascii="仿宋_GB2312" w:hAnsi="仿宋_GB2312" w:eastAsia="仿宋_GB2312" w:cs="仿宋_GB2312"/>
          <w:sz w:val="24"/>
        </w:rPr>
        <w:t>，詹怀宇，中国轻工业出版社，</w:t>
      </w:r>
      <w:r>
        <w:rPr>
          <w:rFonts w:hint="eastAsia" w:ascii="仿宋_GB2312" w:hAnsi="仿宋_GB2312" w:eastAsia="仿宋_GB2312" w:cs="仿宋_GB2312"/>
          <w:sz w:val="24"/>
          <w:lang w:val="en-US" w:eastAsia="zh-CN"/>
        </w:rPr>
        <w:t>2019年8月</w:t>
      </w:r>
      <w:r>
        <w:rPr>
          <w:rFonts w:hint="eastAsia" w:ascii="仿宋_GB2312" w:hAnsi="仿宋_GB2312" w:eastAsia="仿宋_GB2312" w:cs="仿宋_GB2312"/>
          <w:sz w:val="24"/>
        </w:rPr>
        <w:t>；</w:t>
      </w:r>
    </w:p>
    <w:p w14:paraId="0A3B237C">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造纸原理与工程</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第四版</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何北海</w:t>
      </w:r>
      <w:r>
        <w:rPr>
          <w:rFonts w:hint="eastAsia" w:ascii="仿宋_GB2312" w:hAnsi="仿宋_GB2312" w:eastAsia="仿宋_GB2312" w:cs="仿宋_GB2312"/>
          <w:sz w:val="24"/>
        </w:rPr>
        <w:t>，中国轻工业出版社，</w:t>
      </w:r>
      <w:r>
        <w:rPr>
          <w:rFonts w:hint="eastAsia" w:ascii="仿宋_GB2312" w:hAnsi="仿宋_GB2312" w:eastAsia="仿宋_GB2312" w:cs="仿宋_GB2312"/>
          <w:sz w:val="24"/>
          <w:lang w:val="en-US" w:eastAsia="zh-CN"/>
        </w:rPr>
        <w:t>2019年11月。</w:t>
      </w:r>
    </w:p>
    <w:p w14:paraId="32DFC0C3">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（三）网络资源</w:t>
      </w:r>
    </w:p>
    <w:p w14:paraId="565363E8">
      <w:pPr>
        <w:spacing w:line="360" w:lineRule="auto"/>
        <w:ind w:firstLine="480" w:firstLineChars="200"/>
        <w:rPr>
          <w:rFonts w:hint="eastAsia" w:ascii="仿宋_GB2312" w:hAnsi="仿宋_GB2312" w:eastAsia="仿宋_GB2312" w:cs="仿宋_GB2312"/>
          <w:sz w:val="24"/>
          <w:lang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造纸专业实验课</w:t>
      </w:r>
      <w:r>
        <w:rPr>
          <w:rFonts w:hint="eastAsia" w:ascii="仿宋_GB2312" w:hAnsi="仿宋_GB2312" w:eastAsia="仿宋_GB2312" w:cs="仿宋_GB2312"/>
          <w:sz w:val="24"/>
        </w:rPr>
        <w:t>》慕课，</w:t>
      </w:r>
      <w:r>
        <w:rPr>
          <w:rFonts w:hint="eastAsia" w:ascii="仿宋_GB2312" w:hAnsi="仿宋_GB2312" w:eastAsia="仿宋_GB2312" w:cs="仿宋_GB2312"/>
          <w:sz w:val="24"/>
          <w:lang w:val="en-US" w:eastAsia="zh-CN"/>
        </w:rPr>
        <w:t>中国大学MOOC</w:t>
      </w:r>
      <w:r>
        <w:rPr>
          <w:rFonts w:hint="eastAsia" w:ascii="仿宋_GB2312" w:hAnsi="仿宋_GB2312" w:eastAsia="仿宋_GB2312" w:cs="仿宋_GB2312"/>
          <w:sz w:val="24"/>
        </w:rPr>
        <w:t>课程学习平台</w:t>
      </w:r>
      <w:r>
        <w:rPr>
          <w:rFonts w:hint="eastAsia" w:ascii="仿宋_GB2312" w:hAnsi="仿宋_GB2312" w:eastAsia="仿宋_GB2312" w:cs="仿宋_GB2312"/>
          <w:sz w:val="24"/>
          <w:lang w:eastAsia="zh-CN"/>
        </w:rPr>
        <w:t>。</w:t>
      </w:r>
      <w:bookmarkStart w:id="2" w:name="_GoBack"/>
      <w:bookmarkEnd w:id="2"/>
    </w:p>
    <w:p w14:paraId="5F6A91FF">
      <w:pPr>
        <w:jc w:val="center"/>
        <w:rPr>
          <w:sz w:val="24"/>
        </w:rPr>
      </w:pP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5BA1ECF-0C0C-4A06-899C-337DAC6B81C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10A94AB-A0E6-4976-A638-AA144A8CEF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D002FAAB-9E50-43F6-9F58-EF7A00566206}"/>
  </w:font>
  <w:font w:name="方正公文小标宋">
    <w:panose1 w:val="02000500000000000000"/>
    <w:charset w:val="86"/>
    <w:family w:val="auto"/>
    <w:pitch w:val="default"/>
    <w:sig w:usb0="A00002BF" w:usb1="38CF7CFA" w:usb2="00000016" w:usb3="00000000" w:csb0="00040001" w:csb1="00000000"/>
    <w:embedRegular r:id="rId4" w:fontKey="{D964E3E8-EDCB-44B6-88E2-357B9F94CAA7}"/>
  </w:font>
  <w:font w:name="仿宋">
    <w:panose1 w:val="02010609060101010101"/>
    <w:charset w:val="86"/>
    <w:family w:val="modern"/>
    <w:pitch w:val="default"/>
    <w:sig w:usb0="800002BF" w:usb1="38CF7CFA" w:usb2="00000016" w:usb3="00000000" w:csb0="00040001" w:csb1="00000000"/>
    <w:embedRegular r:id="rId5" w:fontKey="{A076A52C-61C3-4FA9-9854-A89C0053FB18}"/>
  </w:font>
  <w:font w:name="仿宋_GB2312">
    <w:panose1 w:val="02010609030101010101"/>
    <w:charset w:val="86"/>
    <w:family w:val="modern"/>
    <w:pitch w:val="default"/>
    <w:sig w:usb0="00000001" w:usb1="080E0000" w:usb2="00000000" w:usb3="00000000" w:csb0="00040000" w:csb1="00000000"/>
    <w:embedRegular r:id="rId6" w:fontKey="{6EE78CD7-56AA-4093-A16C-93E785DC3223}"/>
  </w:font>
  <w:font w:name="微软雅黑">
    <w:panose1 w:val="020B0503020204020204"/>
    <w:charset w:val="86"/>
    <w:family w:val="swiss"/>
    <w:pitch w:val="default"/>
    <w:sig w:usb0="80000287" w:usb1="2ACF3C50" w:usb2="00000016" w:usb3="00000000" w:csb0="0004001F" w:csb1="00000000"/>
    <w:embedRegular r:id="rId7" w:fontKey="{53BC03F6-3718-49DF-97A3-039D93738F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07BD454">
        <w:pPr>
          <w:pStyle w:val="3"/>
          <w:jc w:val="center"/>
        </w:pPr>
        <w:r>
          <w:fldChar w:fldCharType="begin"/>
        </w:r>
        <w:r>
          <w:instrText xml:space="preserve">PAGE   \* MERGEFORMAT</w:instrText>
        </w:r>
        <w:r>
          <w:fldChar w:fldCharType="separate"/>
        </w:r>
        <w:r>
          <w:rPr>
            <w:lang w:val="zh-CN"/>
          </w:rPr>
          <w:t>5</w:t>
        </w:r>
        <w:r>
          <w:fldChar w:fldCharType="end"/>
        </w:r>
      </w:p>
    </w:sdtContent>
  </w:sdt>
  <w:p w14:paraId="472B65F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5OGRjMTk2MWUzZjY0YTg1ZWViN2VmNDY4NWY5MGEifQ=="/>
  </w:docVars>
  <w:rsids>
    <w:rsidRoot w:val="00AD5DDA"/>
    <w:rsid w:val="00002675"/>
    <w:rsid w:val="00027488"/>
    <w:rsid w:val="00027814"/>
    <w:rsid w:val="00030D83"/>
    <w:rsid w:val="00032658"/>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3499"/>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93692"/>
    <w:rsid w:val="003B1B59"/>
    <w:rsid w:val="003B31D5"/>
    <w:rsid w:val="003E7463"/>
    <w:rsid w:val="003F05C6"/>
    <w:rsid w:val="00417CE1"/>
    <w:rsid w:val="0044625B"/>
    <w:rsid w:val="00450011"/>
    <w:rsid w:val="004511C2"/>
    <w:rsid w:val="004567F6"/>
    <w:rsid w:val="00462EBB"/>
    <w:rsid w:val="00463898"/>
    <w:rsid w:val="004A4A37"/>
    <w:rsid w:val="004C6086"/>
    <w:rsid w:val="004E7364"/>
    <w:rsid w:val="00501C19"/>
    <w:rsid w:val="00511C55"/>
    <w:rsid w:val="00542185"/>
    <w:rsid w:val="005579B4"/>
    <w:rsid w:val="00561E49"/>
    <w:rsid w:val="00581698"/>
    <w:rsid w:val="00587938"/>
    <w:rsid w:val="00596BBD"/>
    <w:rsid w:val="005B1C4A"/>
    <w:rsid w:val="005B3036"/>
    <w:rsid w:val="005C6E5B"/>
    <w:rsid w:val="005D54D6"/>
    <w:rsid w:val="00617853"/>
    <w:rsid w:val="00625E44"/>
    <w:rsid w:val="00650802"/>
    <w:rsid w:val="00654ED2"/>
    <w:rsid w:val="00661635"/>
    <w:rsid w:val="006711DF"/>
    <w:rsid w:val="00684B0F"/>
    <w:rsid w:val="006A6276"/>
    <w:rsid w:val="006B0D56"/>
    <w:rsid w:val="006C2ED5"/>
    <w:rsid w:val="006F305C"/>
    <w:rsid w:val="00711C82"/>
    <w:rsid w:val="007153B6"/>
    <w:rsid w:val="00726F99"/>
    <w:rsid w:val="007532A6"/>
    <w:rsid w:val="00764436"/>
    <w:rsid w:val="007820AB"/>
    <w:rsid w:val="007870FF"/>
    <w:rsid w:val="00803632"/>
    <w:rsid w:val="00826695"/>
    <w:rsid w:val="0086674C"/>
    <w:rsid w:val="00877997"/>
    <w:rsid w:val="00881533"/>
    <w:rsid w:val="00883012"/>
    <w:rsid w:val="00886844"/>
    <w:rsid w:val="008974B8"/>
    <w:rsid w:val="008B3981"/>
    <w:rsid w:val="008B3F00"/>
    <w:rsid w:val="008C27AF"/>
    <w:rsid w:val="008C6FA8"/>
    <w:rsid w:val="008D2D05"/>
    <w:rsid w:val="008E768D"/>
    <w:rsid w:val="008F2AD3"/>
    <w:rsid w:val="00901B9C"/>
    <w:rsid w:val="00913330"/>
    <w:rsid w:val="00923999"/>
    <w:rsid w:val="0093061A"/>
    <w:rsid w:val="0093377A"/>
    <w:rsid w:val="00954AE9"/>
    <w:rsid w:val="00957DBF"/>
    <w:rsid w:val="009834E5"/>
    <w:rsid w:val="00993DF9"/>
    <w:rsid w:val="009A0EFD"/>
    <w:rsid w:val="009D7179"/>
    <w:rsid w:val="009E0901"/>
    <w:rsid w:val="009E2E55"/>
    <w:rsid w:val="009E5A22"/>
    <w:rsid w:val="00A0220C"/>
    <w:rsid w:val="00A113F8"/>
    <w:rsid w:val="00A26AE8"/>
    <w:rsid w:val="00A5014F"/>
    <w:rsid w:val="00A849F7"/>
    <w:rsid w:val="00AA7A98"/>
    <w:rsid w:val="00AB418B"/>
    <w:rsid w:val="00AD5DDA"/>
    <w:rsid w:val="00B27FCB"/>
    <w:rsid w:val="00B40572"/>
    <w:rsid w:val="00B40FAB"/>
    <w:rsid w:val="00B41964"/>
    <w:rsid w:val="00B5405A"/>
    <w:rsid w:val="00B543DB"/>
    <w:rsid w:val="00BA397E"/>
    <w:rsid w:val="00BB1603"/>
    <w:rsid w:val="00BB1A63"/>
    <w:rsid w:val="00BB4F00"/>
    <w:rsid w:val="00BD454C"/>
    <w:rsid w:val="00BE52E6"/>
    <w:rsid w:val="00BF3114"/>
    <w:rsid w:val="00C0025D"/>
    <w:rsid w:val="00C0533D"/>
    <w:rsid w:val="00C058CE"/>
    <w:rsid w:val="00C12193"/>
    <w:rsid w:val="00C3286E"/>
    <w:rsid w:val="00C34826"/>
    <w:rsid w:val="00C3508A"/>
    <w:rsid w:val="00C43DF1"/>
    <w:rsid w:val="00C541FC"/>
    <w:rsid w:val="00C861A3"/>
    <w:rsid w:val="00C91438"/>
    <w:rsid w:val="00C93177"/>
    <w:rsid w:val="00C93EB2"/>
    <w:rsid w:val="00CA4011"/>
    <w:rsid w:val="00CF18A2"/>
    <w:rsid w:val="00D023E8"/>
    <w:rsid w:val="00D0418D"/>
    <w:rsid w:val="00D07776"/>
    <w:rsid w:val="00D15122"/>
    <w:rsid w:val="00D17AAC"/>
    <w:rsid w:val="00D33119"/>
    <w:rsid w:val="00D340AE"/>
    <w:rsid w:val="00D6263F"/>
    <w:rsid w:val="00D70870"/>
    <w:rsid w:val="00D75F3D"/>
    <w:rsid w:val="00D8378C"/>
    <w:rsid w:val="00D95AB1"/>
    <w:rsid w:val="00DA6957"/>
    <w:rsid w:val="00DE455A"/>
    <w:rsid w:val="00DE4800"/>
    <w:rsid w:val="00DE4AAD"/>
    <w:rsid w:val="00DE7927"/>
    <w:rsid w:val="00E03E38"/>
    <w:rsid w:val="00E14AA6"/>
    <w:rsid w:val="00E224AB"/>
    <w:rsid w:val="00E40828"/>
    <w:rsid w:val="00E4402A"/>
    <w:rsid w:val="00E50673"/>
    <w:rsid w:val="00E53265"/>
    <w:rsid w:val="00E57B81"/>
    <w:rsid w:val="00E6096D"/>
    <w:rsid w:val="00E625A6"/>
    <w:rsid w:val="00E7775E"/>
    <w:rsid w:val="00E81A46"/>
    <w:rsid w:val="00E84F59"/>
    <w:rsid w:val="00EA0BF1"/>
    <w:rsid w:val="00EA2A8F"/>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77BDE"/>
    <w:rsid w:val="00F864B2"/>
    <w:rsid w:val="00F92E5D"/>
    <w:rsid w:val="00F93936"/>
    <w:rsid w:val="00FA27B3"/>
    <w:rsid w:val="00FA5586"/>
    <w:rsid w:val="00FB3458"/>
    <w:rsid w:val="00FB58AF"/>
    <w:rsid w:val="00FC12A4"/>
    <w:rsid w:val="00FC4288"/>
    <w:rsid w:val="00FC4A93"/>
    <w:rsid w:val="00FC585A"/>
    <w:rsid w:val="00FD27DF"/>
    <w:rsid w:val="00FD7EDF"/>
    <w:rsid w:val="00FE0499"/>
    <w:rsid w:val="00FF3AC5"/>
    <w:rsid w:val="011618E0"/>
    <w:rsid w:val="0431202E"/>
    <w:rsid w:val="088C3CD7"/>
    <w:rsid w:val="125379AF"/>
    <w:rsid w:val="136A2E67"/>
    <w:rsid w:val="1571672E"/>
    <w:rsid w:val="16924BAE"/>
    <w:rsid w:val="191416F7"/>
    <w:rsid w:val="1CA728DC"/>
    <w:rsid w:val="1D0B7468"/>
    <w:rsid w:val="200C5C59"/>
    <w:rsid w:val="283A7784"/>
    <w:rsid w:val="28BF7CA2"/>
    <w:rsid w:val="2C461577"/>
    <w:rsid w:val="2CC02934"/>
    <w:rsid w:val="31AC3A3C"/>
    <w:rsid w:val="367156B7"/>
    <w:rsid w:val="375C658B"/>
    <w:rsid w:val="383428ED"/>
    <w:rsid w:val="397407D6"/>
    <w:rsid w:val="3BDD5FA2"/>
    <w:rsid w:val="3C2A2671"/>
    <w:rsid w:val="3E4479EE"/>
    <w:rsid w:val="3FFF87A0"/>
    <w:rsid w:val="428D786A"/>
    <w:rsid w:val="47050FFC"/>
    <w:rsid w:val="496B2EB9"/>
    <w:rsid w:val="4C6A38FC"/>
    <w:rsid w:val="5450644C"/>
    <w:rsid w:val="551E7032"/>
    <w:rsid w:val="56150435"/>
    <w:rsid w:val="56935945"/>
    <w:rsid w:val="6008725C"/>
    <w:rsid w:val="61442516"/>
    <w:rsid w:val="672D39C9"/>
    <w:rsid w:val="70DD5B9B"/>
    <w:rsid w:val="79B603F2"/>
    <w:rsid w:val="7F86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firstLine="420" w:firstLineChars="200"/>
    </w:pPr>
  </w:style>
  <w:style w:type="character" w:customStyle="1" w:styleId="11">
    <w:name w:val="页眉 Char"/>
    <w:basedOn w:val="9"/>
    <w:link w:val="4"/>
    <w:autoRedefine/>
    <w:qFormat/>
    <w:uiPriority w:val="0"/>
    <w:rPr>
      <w:kern w:val="2"/>
      <w:sz w:val="18"/>
      <w:szCs w:val="18"/>
    </w:rPr>
  </w:style>
  <w:style w:type="character" w:customStyle="1" w:styleId="12">
    <w:name w:val="页脚 Char"/>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7</Pages>
  <Words>3651</Words>
  <Characters>3767</Characters>
  <Lines>3</Lines>
  <Paragraphs>4</Paragraphs>
  <TotalTime>1</TotalTime>
  <ScaleCrop>false</ScaleCrop>
  <LinksUpToDate>false</LinksUpToDate>
  <CharactersWithSpaces>3820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lkf</cp:lastModifiedBy>
  <cp:lastPrinted>2019-05-27T11:40:00Z</cp:lastPrinted>
  <dcterms:modified xsi:type="dcterms:W3CDTF">2024-10-28T00:46:51Z</dcterms:modified>
  <dc:title>附件1：理论课程撰写模板</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72981B0478AC4F71AE774C79B18757DF_13</vt:lpwstr>
  </property>
</Properties>
</file>