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F3CF3">
      <w:pPr>
        <w:spacing w:line="360" w:lineRule="auto"/>
        <w:jc w:val="both"/>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附件11</w:t>
      </w:r>
    </w:p>
    <w:p w14:paraId="0A370A6D">
      <w:pPr>
        <w:jc w:val="center"/>
        <w:rPr>
          <w:rFonts w:hint="eastAsia" w:ascii="方正公文小标宋" w:hAnsi="方正公文小标宋" w:eastAsia="方正公文小标宋" w:cs="方正公文小标宋"/>
          <w:sz w:val="36"/>
          <w:lang w:val="en-US" w:eastAsia="zh-CN"/>
        </w:rPr>
      </w:pPr>
      <w:r>
        <w:rPr>
          <w:rFonts w:hint="eastAsia" w:ascii="方正公文小标宋" w:hAnsi="方正公文小标宋" w:eastAsia="方正公文小标宋" w:cs="方正公文小标宋"/>
          <w:sz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方正公文小标宋" w:hAnsi="方正公文小标宋" w:eastAsia="方正公文小标宋" w:cs="方正公文小标宋"/>
          <w:sz w:val="36"/>
        </w:rPr>
        <w:instrText xml:space="preserve">ADDIN CNKISM.UserStyle</w:instrText>
      </w:r>
      <w:r>
        <w:rPr>
          <w:rFonts w:hint="eastAsia" w:ascii="方正公文小标宋" w:hAnsi="方正公文小标宋" w:eastAsia="方正公文小标宋" w:cs="方正公文小标宋"/>
          <w:sz w:val="36"/>
        </w:rPr>
        <w:fldChar w:fldCharType="end"/>
      </w:r>
      <w:r>
        <w:rPr>
          <w:rFonts w:hint="eastAsia" w:ascii="方正公文小标宋" w:hAnsi="方正公文小标宋" w:eastAsia="方正公文小标宋" w:cs="方正公文小标宋"/>
          <w:sz w:val="36"/>
        </w:rPr>
        <w:t>《轻化工程仪器分析》课程教学</w:t>
      </w:r>
      <w:r>
        <w:rPr>
          <w:rFonts w:hint="eastAsia" w:ascii="方正公文小标宋" w:hAnsi="方正公文小标宋" w:eastAsia="方正公文小标宋" w:cs="方正公文小标宋"/>
          <w:sz w:val="36"/>
          <w:lang w:eastAsia="zh-CN"/>
        </w:rPr>
        <w:t>大纲</w:t>
      </w:r>
      <w:r>
        <w:rPr>
          <w:rFonts w:hint="eastAsia" w:ascii="方正公文小标宋" w:hAnsi="方正公文小标宋" w:eastAsia="方正公文小标宋" w:cs="方正公文小标宋"/>
          <w:sz w:val="36"/>
          <w:lang w:val="en-US" w:eastAsia="zh-CN"/>
        </w:rPr>
        <w:t xml:space="preserve">  </w:t>
      </w:r>
    </w:p>
    <w:p w14:paraId="544ED2A5">
      <w:pPr>
        <w:tabs>
          <w:tab w:val="left" w:pos="672"/>
        </w:tabs>
        <w:spacing w:line="400" w:lineRule="exact"/>
        <w:ind w:firstLine="560" w:firstLineChars="200"/>
        <w:jc w:val="center"/>
        <w:rPr>
          <w:rFonts w:ascii="黑体" w:hAnsi="宋体" w:eastAsia="黑体"/>
          <w:sz w:val="28"/>
          <w:szCs w:val="28"/>
        </w:rPr>
      </w:pPr>
      <w:r>
        <w:rPr>
          <w:rFonts w:hint="eastAsia" w:ascii="仿宋" w:hAnsi="仿宋" w:eastAsia="仿宋" w:cs="仿宋"/>
          <w:sz w:val="28"/>
          <w:szCs w:val="28"/>
        </w:rPr>
        <w:t>（理论课程·202</w:t>
      </w:r>
      <w:r>
        <w:rPr>
          <w:rFonts w:hint="eastAsia" w:ascii="仿宋" w:hAnsi="仿宋" w:eastAsia="仿宋" w:cs="仿宋"/>
          <w:sz w:val="28"/>
          <w:szCs w:val="28"/>
          <w:lang w:val="en-US" w:eastAsia="zh-CN"/>
        </w:rPr>
        <w:t>4</w:t>
      </w:r>
      <w:r>
        <w:rPr>
          <w:rFonts w:hint="eastAsia" w:ascii="仿宋" w:hAnsi="仿宋" w:eastAsia="仿宋" w:cs="仿宋"/>
          <w:sz w:val="28"/>
          <w:szCs w:val="28"/>
        </w:rPr>
        <w:t>版）</w:t>
      </w:r>
    </w:p>
    <w:p w14:paraId="02EA9A48">
      <w:pPr>
        <w:spacing w:line="360" w:lineRule="auto"/>
        <w:ind w:firstLine="482" w:firstLineChars="200"/>
        <w:rPr>
          <w:rFonts w:hint="eastAsia" w:ascii="黑体" w:hAnsi="黑体" w:eastAsia="黑体" w:cs="黑体"/>
          <w:b w:val="0"/>
          <w:bCs/>
          <w:color w:val="FF0000"/>
          <w:sz w:val="24"/>
          <w:lang w:eastAsia="zh-CN"/>
        </w:rPr>
      </w:pPr>
      <w:r>
        <w:rPr>
          <w:rFonts w:hint="eastAsia" w:ascii="黑体" w:hAnsi="黑体" w:eastAsia="黑体" w:cs="黑体"/>
          <w:b/>
          <w:sz w:val="24"/>
        </w:rPr>
        <w:t>一、课程基本信息</w:t>
      </w:r>
    </w:p>
    <w:tbl>
      <w:tblPr>
        <w:tblStyle w:val="7"/>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701"/>
        <w:gridCol w:w="2268"/>
        <w:gridCol w:w="1701"/>
        <w:gridCol w:w="2835"/>
      </w:tblGrid>
      <w:tr w14:paraId="0686F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2FA39C41">
            <w:pPr>
              <w:adjustRightInd w:val="0"/>
              <w:snapToGrid w:val="0"/>
              <w:jc w:val="center"/>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sz w:val="24"/>
                <w:szCs w:val="24"/>
              </w:rPr>
              <w:t>课 程 号</w:t>
            </w:r>
          </w:p>
        </w:tc>
        <w:tc>
          <w:tcPr>
            <w:tcW w:w="2268" w:type="dxa"/>
            <w:vAlign w:val="center"/>
          </w:tcPr>
          <w:p w14:paraId="47A6E0B4">
            <w:pPr>
              <w:adjustRightInd w:val="0"/>
              <w:snapToGrid w:val="0"/>
              <w:jc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B915014</w:t>
            </w:r>
          </w:p>
        </w:tc>
        <w:tc>
          <w:tcPr>
            <w:tcW w:w="1701" w:type="dxa"/>
            <w:vAlign w:val="center"/>
          </w:tcPr>
          <w:p w14:paraId="49C06DF2">
            <w:pPr>
              <w:adjustRightInd w:val="0"/>
              <w:snapToGrid w:val="0"/>
              <w:jc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开课单位</w:t>
            </w:r>
          </w:p>
        </w:tc>
        <w:tc>
          <w:tcPr>
            <w:tcW w:w="2835" w:type="dxa"/>
            <w:vAlign w:val="center"/>
          </w:tcPr>
          <w:p w14:paraId="3F5611AB">
            <w:pPr>
              <w:adjustRightInd w:val="0"/>
              <w:snapToGrid w:val="0"/>
              <w:jc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color w:val="auto"/>
                <w:sz w:val="24"/>
                <w:szCs w:val="24"/>
              </w:rPr>
              <w:t>轻工学部 轻化工程教研室</w:t>
            </w:r>
          </w:p>
        </w:tc>
      </w:tr>
      <w:tr w14:paraId="19EE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Merge w:val="restart"/>
            <w:vAlign w:val="center"/>
          </w:tcPr>
          <w:p w14:paraId="2BE5FA0C">
            <w:pPr>
              <w:adjustRightInd w:val="0"/>
              <w:snapToGrid w:val="0"/>
              <w:jc w:val="center"/>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sz w:val="24"/>
                <w:szCs w:val="24"/>
              </w:rPr>
              <w:t>课程名称</w:t>
            </w:r>
          </w:p>
        </w:tc>
        <w:tc>
          <w:tcPr>
            <w:tcW w:w="6804" w:type="dxa"/>
            <w:gridSpan w:val="3"/>
            <w:vAlign w:val="center"/>
          </w:tcPr>
          <w:p w14:paraId="2D041F19">
            <w:pPr>
              <w:adjustRightInd w:val="0"/>
              <w:snapToGrid w:val="0"/>
              <w:jc w:val="left"/>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color w:val="auto"/>
                <w:sz w:val="24"/>
                <w:szCs w:val="24"/>
              </w:rPr>
              <w:t>轻化工程仪器分析</w:t>
            </w:r>
          </w:p>
        </w:tc>
      </w:tr>
      <w:tr w14:paraId="5FFC7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Merge w:val="continue"/>
            <w:vAlign w:val="center"/>
          </w:tcPr>
          <w:p w14:paraId="7C98F53F">
            <w:pPr>
              <w:adjustRightInd w:val="0"/>
              <w:snapToGrid w:val="0"/>
              <w:jc w:val="center"/>
              <w:rPr>
                <w:rFonts w:hint="default" w:ascii="Times New Roman" w:hAnsi="Times New Roman" w:eastAsia="黑体" w:cs="Times New Roman"/>
                <w:b w:val="0"/>
                <w:bCs/>
                <w:color w:val="auto"/>
                <w:sz w:val="24"/>
                <w:szCs w:val="24"/>
              </w:rPr>
            </w:pPr>
          </w:p>
        </w:tc>
        <w:tc>
          <w:tcPr>
            <w:tcW w:w="6804" w:type="dxa"/>
            <w:gridSpan w:val="3"/>
            <w:vAlign w:val="center"/>
          </w:tcPr>
          <w:p w14:paraId="0A93AC21">
            <w:pPr>
              <w:adjustRightInd w:val="0"/>
              <w:snapToGrid w:val="0"/>
              <w:jc w:val="left"/>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color w:val="auto"/>
                <w:sz w:val="24"/>
                <w:szCs w:val="24"/>
              </w:rPr>
              <w:t>Instrumental Analysis of Light Chemistry and Engineering</w:t>
            </w:r>
          </w:p>
        </w:tc>
      </w:tr>
      <w:tr w14:paraId="356F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1022F6C8">
            <w:pPr>
              <w:adjustRightInd w:val="0"/>
              <w:snapToGrid w:val="0"/>
              <w:jc w:val="center"/>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sz w:val="24"/>
                <w:szCs w:val="24"/>
              </w:rPr>
              <w:t>课程性质</w:t>
            </w:r>
          </w:p>
        </w:tc>
        <w:tc>
          <w:tcPr>
            <w:tcW w:w="2268" w:type="dxa"/>
            <w:vAlign w:val="center"/>
          </w:tcPr>
          <w:p w14:paraId="52A3D083">
            <w:pPr>
              <w:adjustRightInd w:val="0"/>
              <w:snapToGrid w:val="0"/>
              <w:jc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选修</w:t>
            </w:r>
          </w:p>
        </w:tc>
        <w:tc>
          <w:tcPr>
            <w:tcW w:w="1701" w:type="dxa"/>
            <w:vAlign w:val="center"/>
          </w:tcPr>
          <w:p w14:paraId="22F02D20">
            <w:pPr>
              <w:adjustRightInd w:val="0"/>
              <w:snapToGrid w:val="0"/>
              <w:jc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考核类型</w:t>
            </w:r>
          </w:p>
        </w:tc>
        <w:tc>
          <w:tcPr>
            <w:tcW w:w="2835" w:type="dxa"/>
            <w:vAlign w:val="center"/>
          </w:tcPr>
          <w:p w14:paraId="501FF142">
            <w:pPr>
              <w:adjustRightInd w:val="0"/>
              <w:snapToGrid w:val="0"/>
              <w:jc w:val="center"/>
              <w:rPr>
                <w:rFonts w:hint="default" w:ascii="Times New Roman" w:hAnsi="Times New Roman" w:eastAsia="黑体" w:cs="Times New Roman"/>
                <w:b w:val="0"/>
                <w:bCs w:val="0"/>
                <w:color w:val="auto"/>
                <w:sz w:val="24"/>
                <w:szCs w:val="24"/>
                <w:lang w:val="en-US" w:eastAsia="zh-CN"/>
              </w:rPr>
            </w:pPr>
            <w:r>
              <w:rPr>
                <w:rFonts w:hint="eastAsia" w:eastAsia="黑体" w:cs="Times New Roman"/>
                <w:b w:val="0"/>
                <w:bCs w:val="0"/>
                <w:color w:val="auto"/>
                <w:sz w:val="24"/>
                <w:szCs w:val="24"/>
                <w:lang w:val="en-US" w:eastAsia="zh-CN"/>
              </w:rPr>
              <w:t>考查</w:t>
            </w:r>
          </w:p>
        </w:tc>
      </w:tr>
      <w:tr w14:paraId="2B679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63E69037">
            <w:pPr>
              <w:adjustRightInd w:val="0"/>
              <w:snapToGrid w:val="0"/>
              <w:jc w:val="center"/>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sz w:val="24"/>
                <w:szCs w:val="24"/>
              </w:rPr>
              <w:t>课程学分</w:t>
            </w:r>
          </w:p>
        </w:tc>
        <w:tc>
          <w:tcPr>
            <w:tcW w:w="2268" w:type="dxa"/>
            <w:vAlign w:val="center"/>
          </w:tcPr>
          <w:p w14:paraId="64DB3325">
            <w:pPr>
              <w:adjustRightInd w:val="0"/>
              <w:snapToGrid w:val="0"/>
              <w:jc w:val="center"/>
              <w:rPr>
                <w:rFonts w:hint="default" w:ascii="Times New Roman" w:hAnsi="Times New Roman" w:eastAsia="黑体" w:cs="Times New Roman"/>
                <w:b w:val="0"/>
                <w:bCs w:val="0"/>
                <w:color w:val="auto"/>
                <w:sz w:val="24"/>
                <w:szCs w:val="24"/>
                <w:lang w:val="en-US" w:eastAsia="zh-CN"/>
              </w:rPr>
            </w:pPr>
            <w:r>
              <w:rPr>
                <w:rFonts w:hint="eastAsia" w:eastAsia="黑体" w:cs="Times New Roman"/>
                <w:b w:val="0"/>
                <w:bCs w:val="0"/>
                <w:color w:val="auto"/>
                <w:sz w:val="24"/>
                <w:szCs w:val="24"/>
                <w:lang w:val="en-US" w:eastAsia="zh-CN"/>
              </w:rPr>
              <w:t>1.5</w:t>
            </w:r>
          </w:p>
        </w:tc>
        <w:tc>
          <w:tcPr>
            <w:tcW w:w="1701" w:type="dxa"/>
            <w:vAlign w:val="center"/>
          </w:tcPr>
          <w:p w14:paraId="6450F70D">
            <w:pPr>
              <w:adjustRightInd w:val="0"/>
              <w:snapToGrid w:val="0"/>
              <w:jc w:val="center"/>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课程学时</w:t>
            </w:r>
          </w:p>
        </w:tc>
        <w:tc>
          <w:tcPr>
            <w:tcW w:w="2835" w:type="dxa"/>
            <w:vAlign w:val="center"/>
          </w:tcPr>
          <w:p w14:paraId="0055381F">
            <w:pPr>
              <w:adjustRightInd w:val="0"/>
              <w:snapToGrid w:val="0"/>
              <w:jc w:val="center"/>
              <w:rPr>
                <w:rFonts w:hint="default" w:ascii="Times New Roman" w:hAnsi="Times New Roman" w:eastAsia="黑体" w:cs="Times New Roman"/>
                <w:b w:val="0"/>
                <w:bCs w:val="0"/>
                <w:color w:val="auto"/>
                <w:sz w:val="24"/>
                <w:szCs w:val="24"/>
                <w:lang w:val="en-US" w:eastAsia="zh-CN"/>
              </w:rPr>
            </w:pPr>
            <w:r>
              <w:rPr>
                <w:rFonts w:hint="eastAsia" w:eastAsia="黑体" w:cs="Times New Roman"/>
                <w:b w:val="0"/>
                <w:bCs w:val="0"/>
                <w:color w:val="auto"/>
                <w:sz w:val="24"/>
                <w:szCs w:val="24"/>
                <w:lang w:val="en-US" w:eastAsia="zh-CN"/>
              </w:rPr>
              <w:t>8</w:t>
            </w:r>
            <w:r>
              <w:rPr>
                <w:rFonts w:hint="eastAsia" w:ascii="Times New Roman" w:hAnsi="Times New Roman" w:eastAsia="黑体" w:cs="Times New Roman"/>
                <w:b w:val="0"/>
                <w:bCs w:val="0"/>
                <w:color w:val="auto"/>
                <w:sz w:val="24"/>
                <w:szCs w:val="24"/>
                <w:lang w:val="en-US" w:eastAsia="zh-CN"/>
              </w:rPr>
              <w:t>+32</w:t>
            </w:r>
          </w:p>
        </w:tc>
      </w:tr>
      <w:tr w14:paraId="5CA63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1C170270">
            <w:pPr>
              <w:adjustRightInd w:val="0"/>
              <w:snapToGrid w:val="0"/>
              <w:jc w:val="center"/>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sz w:val="24"/>
                <w:szCs w:val="24"/>
              </w:rPr>
              <w:t>课程类别</w:t>
            </w:r>
          </w:p>
        </w:tc>
        <w:tc>
          <w:tcPr>
            <w:tcW w:w="6799" w:type="dxa"/>
            <w:gridSpan w:val="3"/>
            <w:vAlign w:val="center"/>
          </w:tcPr>
          <w:p w14:paraId="2A18021A">
            <w:pPr>
              <w:adjustRightInd w:val="0"/>
              <w:snapToGrid w:val="0"/>
              <w:jc w:val="center"/>
              <w:rPr>
                <w:rFonts w:hint="default" w:ascii="Times New Roman" w:hAnsi="Times New Roman" w:eastAsia="黑体" w:cs="Times New Roman"/>
                <w:b w:val="0"/>
                <w:bCs w:val="0"/>
                <w:i w:val="0"/>
                <w:iCs w:val="0"/>
                <w:color w:val="auto"/>
                <w:sz w:val="24"/>
                <w:szCs w:val="24"/>
                <w:lang w:eastAsia="zh-CN"/>
              </w:rPr>
            </w:pPr>
            <w:r>
              <w:rPr>
                <w:rFonts w:hint="default" w:ascii="Times New Roman" w:hAnsi="Times New Roman" w:eastAsia="黑体" w:cs="Times New Roman"/>
                <w:b w:val="0"/>
                <w:bCs w:val="0"/>
                <w:color w:val="auto"/>
                <w:sz w:val="24"/>
                <w:szCs w:val="24"/>
                <w:lang w:eastAsia="zh-CN"/>
              </w:rPr>
              <w:t>专业方向</w:t>
            </w:r>
          </w:p>
        </w:tc>
      </w:tr>
      <w:tr w14:paraId="4B98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0AAE035C">
            <w:pPr>
              <w:adjustRightInd w:val="0"/>
              <w:snapToGrid w:val="0"/>
              <w:jc w:val="center"/>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sz w:val="24"/>
                <w:szCs w:val="24"/>
              </w:rPr>
              <w:t>先修课程</w:t>
            </w:r>
          </w:p>
        </w:tc>
        <w:tc>
          <w:tcPr>
            <w:tcW w:w="6799" w:type="dxa"/>
            <w:gridSpan w:val="3"/>
            <w:vAlign w:val="center"/>
          </w:tcPr>
          <w:p w14:paraId="36DD6ED9">
            <w:pPr>
              <w:adjustRightInd w:val="0"/>
              <w:snapToGrid w:val="0"/>
              <w:jc w:val="center"/>
              <w:rPr>
                <w:rFonts w:hint="default" w:ascii="Times New Roman" w:hAnsi="Times New Roman" w:eastAsia="黑体" w:cs="Times New Roman"/>
                <w:color w:val="auto"/>
                <w:sz w:val="24"/>
                <w:szCs w:val="24"/>
              </w:rPr>
            </w:pPr>
            <w:r>
              <w:rPr>
                <w:rFonts w:hint="eastAsia" w:ascii="宋体" w:hAnsi="宋体"/>
                <w:color w:val="auto"/>
              </w:rPr>
              <w:t>无机及分析化学、有机化学、化工原理</w:t>
            </w:r>
          </w:p>
        </w:tc>
      </w:tr>
      <w:tr w14:paraId="7D72B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1701" w:type="dxa"/>
            <w:vAlign w:val="center"/>
          </w:tcPr>
          <w:p w14:paraId="38ED624A">
            <w:pPr>
              <w:adjustRightInd w:val="0"/>
              <w:snapToGrid w:val="0"/>
              <w:jc w:val="center"/>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sz w:val="24"/>
                <w:szCs w:val="24"/>
              </w:rPr>
              <w:t>适用专业（类）</w:t>
            </w:r>
          </w:p>
        </w:tc>
        <w:tc>
          <w:tcPr>
            <w:tcW w:w="6799" w:type="dxa"/>
            <w:gridSpan w:val="3"/>
            <w:vAlign w:val="center"/>
          </w:tcPr>
          <w:p w14:paraId="360CEF9E">
            <w:pPr>
              <w:adjustRightInd w:val="0"/>
              <w:snapToGrid w:val="0"/>
              <w:jc w:val="center"/>
              <w:rPr>
                <w:rFonts w:hint="default" w:ascii="Times New Roman" w:hAnsi="Times New Roman" w:eastAsia="黑体" w:cs="Times New Roman"/>
                <w:b/>
                <w:color w:val="auto"/>
                <w:sz w:val="24"/>
                <w:szCs w:val="24"/>
              </w:rPr>
            </w:pPr>
            <w:r>
              <w:rPr>
                <w:rFonts w:hint="eastAsia" w:ascii="宋体" w:hAnsi="宋体"/>
                <w:color w:val="auto"/>
              </w:rPr>
              <w:t>轻化工程（制浆造纸工程方向）</w:t>
            </w:r>
          </w:p>
        </w:tc>
      </w:tr>
    </w:tbl>
    <w:p w14:paraId="1C1FEF81">
      <w:pPr>
        <w:spacing w:line="360" w:lineRule="auto"/>
        <w:ind w:firstLine="482" w:firstLineChars="200"/>
        <w:rPr>
          <w:rFonts w:hint="eastAsia" w:ascii="黑体" w:hAnsi="黑体" w:eastAsia="黑体" w:cs="黑体"/>
          <w:b w:val="0"/>
          <w:bCs/>
          <w:color w:val="FF0000"/>
          <w:sz w:val="24"/>
        </w:rPr>
      </w:pPr>
      <w:r>
        <w:rPr>
          <w:rFonts w:hint="eastAsia" w:ascii="黑体" w:hAnsi="黑体" w:eastAsia="黑体" w:cs="黑体"/>
          <w:b/>
          <w:sz w:val="24"/>
        </w:rPr>
        <w:t>二、课程描述及目标</w:t>
      </w:r>
    </w:p>
    <w:p w14:paraId="4B9FE11B">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（一）课程简介</w:t>
      </w:r>
    </w:p>
    <w:p w14:paraId="289A2622">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课程是轻化工程（制浆造纸工程方向）专业方向课。本课程的主要授课内容为与轻化工程专业相关仪器分析的发展现状、经典气相色谱、高效液相色谱、紫外可见分光光度法、红外光谱法、核磁共振波谱法等，并对各种方法的产生与发展过程、基本原理、代表性仪器构造及其使用方法进行全面介绍。通过本课程的学习，使学生能够全面了解和掌握轻化工程专业制浆造纸方向中常用仪器的分析方法、原理和基本结构；具备根据分析目的，正确选择分析方法的能力，并初步具备运用分析仪器对制浆造纸行业相关产品的物理和化学性能进行识别、表达、分析，并获得有效结论的能力。</w:t>
      </w:r>
    </w:p>
    <w:p w14:paraId="456E68E2">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（二）教学目标</w:t>
      </w:r>
    </w:p>
    <w:p w14:paraId="6520411D">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通过本课程的学习，学生可以掌握常用仪器分析方法的原理和仪器的简单结构；学生通过学习初步具有根据分析的目的，结合学到的各种仪器分析方法的特点、应用范围，选择适宜的分析方法的能力，有助于后续课程的学习。</w:t>
      </w:r>
    </w:p>
    <w:p w14:paraId="0936C959">
      <w:pPr>
        <w:spacing w:line="360" w:lineRule="auto"/>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课程目标1：</w:t>
      </w:r>
      <w:r>
        <w:rPr>
          <w:rFonts w:hint="eastAsia" w:ascii="仿宋_GB2312" w:hAnsi="仿宋_GB2312" w:eastAsia="仿宋_GB2312" w:cs="仿宋_GB2312"/>
          <w:sz w:val="24"/>
          <w:szCs w:val="24"/>
        </w:rPr>
        <w:t>掌握制浆造纸工程中常用分析仪器的方法、特点和应用范围；掌握色谱、光谱、核磁等常见分析检测方法反馈数据的处理和分析方法；能够基于分析检测结果对制浆造纸工程中的纤维及其组分性能做出初步判断</w:t>
      </w:r>
      <w:r>
        <w:rPr>
          <w:rFonts w:hint="eastAsia" w:ascii="仿宋_GB2312" w:hAnsi="仿宋_GB2312" w:eastAsia="仿宋_GB2312" w:cs="仿宋_GB2312"/>
          <w:sz w:val="24"/>
          <w:szCs w:val="24"/>
          <w:lang w:eastAsia="zh-CN"/>
        </w:rPr>
        <w:t>；</w:t>
      </w:r>
    </w:p>
    <w:p w14:paraId="309B45E2">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课程目标2：</w:t>
      </w:r>
      <w:r>
        <w:rPr>
          <w:rFonts w:hint="eastAsia" w:ascii="仿宋_GB2312" w:hAnsi="仿宋_GB2312" w:eastAsia="仿宋_GB2312" w:cs="仿宋_GB2312"/>
          <w:sz w:val="24"/>
          <w:szCs w:val="24"/>
        </w:rPr>
        <w:t>掌握纸浆造纸纤维及其组分的结构与其性能之间的关系的基本知识，具有对分析对象的结构和性能进行表征和分析的基本知识和技能；能针对检测对象的特点和性能，选择合适的分析检测方法进行表征和分析；能够根据分析仪器的反馈信息分析轻化工程相关材料的组成，判断制浆造纸产品性能。</w:t>
      </w:r>
    </w:p>
    <w:p w14:paraId="7839B78E">
      <w:pPr>
        <w:spacing w:line="360" w:lineRule="auto"/>
        <w:ind w:firstLine="480" w:firstLineChars="200"/>
        <w:rPr>
          <w:rFonts w:hint="eastAsia" w:ascii="黑体" w:hAnsi="黑体" w:eastAsia="黑体" w:cs="黑体"/>
          <w:b w:val="0"/>
          <w:bCs/>
          <w:color w:val="FF0000"/>
          <w:sz w:val="24"/>
        </w:rPr>
      </w:pPr>
      <w:r>
        <w:rPr>
          <w:rFonts w:hint="eastAsia" w:ascii="黑体" w:hAnsi="黑体" w:eastAsia="黑体" w:cs="黑体"/>
          <w:b w:val="0"/>
          <w:bCs/>
          <w:sz w:val="24"/>
        </w:rPr>
        <w:t>三、课程目标对毕业要求的支撑关系</w:t>
      </w:r>
    </w:p>
    <w:tbl>
      <w:tblPr>
        <w:tblStyle w:val="7"/>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669"/>
        <w:gridCol w:w="1701"/>
        <w:gridCol w:w="1134"/>
      </w:tblGrid>
      <w:tr w14:paraId="3B8E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tblHeader/>
          <w:jc w:val="center"/>
        </w:trPr>
        <w:tc>
          <w:tcPr>
            <w:tcW w:w="5669" w:type="dxa"/>
            <w:tcMar>
              <w:top w:w="57" w:type="dxa"/>
              <w:bottom w:w="57" w:type="dxa"/>
            </w:tcMar>
            <w:vAlign w:val="center"/>
          </w:tcPr>
          <w:p w14:paraId="052BB396">
            <w:pPr>
              <w:jc w:val="center"/>
              <w:rPr>
                <w:rFonts w:hint="eastAsia" w:ascii="黑体" w:hAnsi="黑体" w:eastAsia="黑体" w:cs="黑体"/>
                <w:b/>
                <w:sz w:val="24"/>
                <w:szCs w:val="24"/>
              </w:rPr>
            </w:pPr>
            <w:r>
              <w:rPr>
                <w:rFonts w:hint="eastAsia" w:ascii="黑体" w:hAnsi="黑体" w:eastAsia="黑体" w:cs="黑体"/>
                <w:b/>
                <w:sz w:val="24"/>
                <w:szCs w:val="24"/>
              </w:rPr>
              <w:t>毕业要求指标点</w:t>
            </w:r>
          </w:p>
        </w:tc>
        <w:tc>
          <w:tcPr>
            <w:tcW w:w="1701" w:type="dxa"/>
            <w:tcMar>
              <w:top w:w="57" w:type="dxa"/>
              <w:bottom w:w="57" w:type="dxa"/>
            </w:tcMar>
            <w:vAlign w:val="center"/>
          </w:tcPr>
          <w:p w14:paraId="21E8F930">
            <w:pPr>
              <w:jc w:val="center"/>
              <w:rPr>
                <w:rFonts w:hint="eastAsia" w:ascii="黑体" w:hAnsi="黑体" w:eastAsia="黑体" w:cs="黑体"/>
                <w:b/>
                <w:sz w:val="24"/>
                <w:szCs w:val="24"/>
              </w:rPr>
            </w:pPr>
            <w:r>
              <w:rPr>
                <w:rFonts w:hint="eastAsia" w:ascii="黑体" w:hAnsi="黑体" w:eastAsia="黑体" w:cs="黑体"/>
                <w:b/>
                <w:sz w:val="24"/>
                <w:szCs w:val="24"/>
              </w:rPr>
              <w:t>课程目标</w:t>
            </w:r>
          </w:p>
        </w:tc>
        <w:tc>
          <w:tcPr>
            <w:tcW w:w="1134" w:type="dxa"/>
            <w:tcMar>
              <w:top w:w="57" w:type="dxa"/>
              <w:bottom w:w="57" w:type="dxa"/>
            </w:tcMar>
            <w:vAlign w:val="center"/>
          </w:tcPr>
          <w:p w14:paraId="22ACAED9">
            <w:pPr>
              <w:jc w:val="center"/>
              <w:rPr>
                <w:rFonts w:hint="eastAsia" w:ascii="黑体" w:hAnsi="黑体" w:eastAsia="黑体" w:cs="黑体"/>
                <w:b/>
                <w:sz w:val="24"/>
                <w:szCs w:val="24"/>
              </w:rPr>
            </w:pPr>
            <w:r>
              <w:rPr>
                <w:rFonts w:hint="eastAsia" w:ascii="黑体" w:hAnsi="黑体" w:eastAsia="黑体" w:cs="黑体"/>
                <w:b/>
                <w:sz w:val="24"/>
                <w:szCs w:val="24"/>
              </w:rPr>
              <w:t>权重</w:t>
            </w:r>
          </w:p>
        </w:tc>
      </w:tr>
      <w:tr w14:paraId="10F3C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669" w:type="dxa"/>
            <w:tcMar>
              <w:top w:w="57" w:type="dxa"/>
              <w:bottom w:w="57" w:type="dxa"/>
            </w:tcMar>
            <w:vAlign w:val="center"/>
          </w:tcPr>
          <w:p w14:paraId="692AAA9C">
            <w:pPr>
              <w:spacing w:line="360" w:lineRule="auto"/>
              <w:ind w:firstLine="482" w:firstLineChars="2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rPr>
              <w:t xml:space="preserve">毕业要求2.1 </w:t>
            </w:r>
            <w:r>
              <w:rPr>
                <w:rFonts w:hint="eastAsia" w:ascii="仿宋_GB2312" w:hAnsi="仿宋_GB2312" w:eastAsia="仿宋_GB2312" w:cs="仿宋_GB2312"/>
                <w:sz w:val="24"/>
                <w:szCs w:val="24"/>
              </w:rPr>
              <w:t>能运用相关科学原理，识别和判断复杂工程问题的关键环节。</w:t>
            </w:r>
          </w:p>
        </w:tc>
        <w:tc>
          <w:tcPr>
            <w:tcW w:w="1701" w:type="dxa"/>
            <w:tcMar>
              <w:top w:w="57" w:type="dxa"/>
              <w:bottom w:w="57" w:type="dxa"/>
            </w:tcMar>
            <w:vAlign w:val="center"/>
          </w:tcPr>
          <w:p w14:paraId="29DD30DA">
            <w:pPr>
              <w:spacing w:line="36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课程目标1</w:t>
            </w:r>
          </w:p>
        </w:tc>
        <w:tc>
          <w:tcPr>
            <w:tcW w:w="1134" w:type="dxa"/>
            <w:tcMar>
              <w:top w:w="57" w:type="dxa"/>
              <w:bottom w:w="57" w:type="dxa"/>
            </w:tcMar>
            <w:vAlign w:val="center"/>
          </w:tcPr>
          <w:p w14:paraId="1BB4A602">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w:t>
            </w:r>
          </w:p>
        </w:tc>
      </w:tr>
      <w:tr w14:paraId="798B2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669" w:type="dxa"/>
            <w:tcMar>
              <w:top w:w="57" w:type="dxa"/>
              <w:bottom w:w="57" w:type="dxa"/>
            </w:tcMar>
            <w:vAlign w:val="center"/>
          </w:tcPr>
          <w:p w14:paraId="40977B84">
            <w:pPr>
              <w:spacing w:line="360" w:lineRule="auto"/>
              <w:ind w:firstLine="482" w:firstLineChars="2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rPr>
              <w:t>毕业要求5.3</w:t>
            </w:r>
            <w:r>
              <w:rPr>
                <w:rFonts w:hint="eastAsia" w:ascii="仿宋_GB2312" w:hAnsi="仿宋_GB2312" w:eastAsia="仿宋_GB2312" w:cs="仿宋_GB2312"/>
                <w:sz w:val="24"/>
                <w:szCs w:val="24"/>
              </w:rPr>
              <w:t xml:space="preserve"> 能够针对具体的对象，开发或选用满足特定需求的现代工具。</w:t>
            </w:r>
          </w:p>
        </w:tc>
        <w:tc>
          <w:tcPr>
            <w:tcW w:w="1701" w:type="dxa"/>
            <w:tcMar>
              <w:top w:w="57" w:type="dxa"/>
              <w:bottom w:w="57" w:type="dxa"/>
            </w:tcMar>
            <w:vAlign w:val="center"/>
          </w:tcPr>
          <w:p w14:paraId="6AA1FF47">
            <w:pPr>
              <w:spacing w:line="36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课程目标2</w:t>
            </w:r>
          </w:p>
        </w:tc>
        <w:tc>
          <w:tcPr>
            <w:tcW w:w="1134" w:type="dxa"/>
            <w:tcMar>
              <w:top w:w="57" w:type="dxa"/>
              <w:bottom w:w="57" w:type="dxa"/>
            </w:tcMar>
            <w:vAlign w:val="center"/>
          </w:tcPr>
          <w:p w14:paraId="6495CD4E">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w:t>
            </w:r>
          </w:p>
        </w:tc>
      </w:tr>
    </w:tbl>
    <w:p w14:paraId="23869005">
      <w:pPr>
        <w:numPr>
          <w:ilvl w:val="0"/>
          <w:numId w:val="1"/>
        </w:numPr>
        <w:spacing w:line="360" w:lineRule="auto"/>
        <w:ind w:firstLine="482" w:firstLineChars="200"/>
        <w:rPr>
          <w:rFonts w:hint="eastAsia" w:ascii="黑体" w:hAnsi="黑体" w:eastAsia="黑体" w:cs="黑体"/>
          <w:b/>
          <w:sz w:val="24"/>
          <w:lang w:eastAsia="zh-CN"/>
        </w:rPr>
      </w:pPr>
      <w:r>
        <w:rPr>
          <w:rFonts w:hint="eastAsia" w:ascii="黑体" w:hAnsi="黑体" w:eastAsia="黑体" w:cs="黑体"/>
          <w:b/>
          <w:sz w:val="24"/>
        </w:rPr>
        <w:t>教学方式与方法</w:t>
      </w:r>
      <w:r>
        <w:rPr>
          <w:rFonts w:hint="eastAsia" w:ascii="黑体" w:hAnsi="黑体" w:eastAsia="黑体" w:cs="黑体"/>
          <w:b/>
          <w:sz w:val="24"/>
          <w:lang w:eastAsia="zh-CN"/>
        </w:rPr>
        <w:t>（</w:t>
      </w:r>
      <w:r>
        <w:rPr>
          <w:rFonts w:hint="eastAsia" w:ascii="黑体" w:hAnsi="黑体" w:eastAsia="黑体" w:cs="黑体"/>
          <w:b/>
          <w:sz w:val="24"/>
          <w:lang w:val="en-US" w:eastAsia="zh-CN"/>
        </w:rPr>
        <w:t>如有实验，则需对实验教学方法与手段做必要的说明</w:t>
      </w:r>
      <w:r>
        <w:rPr>
          <w:rFonts w:hint="eastAsia" w:ascii="黑体" w:hAnsi="黑体" w:eastAsia="黑体" w:cs="黑体"/>
          <w:b/>
          <w:sz w:val="24"/>
          <w:lang w:eastAsia="zh-CN"/>
        </w:rPr>
        <w:t>）</w:t>
      </w:r>
      <w:bookmarkStart w:id="0" w:name="_Hlk5205911"/>
    </w:p>
    <w:p w14:paraId="2BD2ECCD">
      <w:pPr>
        <w:spacing w:line="360" w:lineRule="auto"/>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教学</w:t>
      </w:r>
      <w:r>
        <w:rPr>
          <w:rFonts w:hint="eastAsia" w:ascii="仿宋_GB2312" w:hAnsi="仿宋_GB2312" w:eastAsia="仿宋_GB2312" w:cs="仿宋_GB2312"/>
          <w:sz w:val="24"/>
          <w:szCs w:val="24"/>
          <w:lang w:eastAsia="zh-CN"/>
        </w:rPr>
        <w:t>采用实验与</w:t>
      </w:r>
      <w:r>
        <w:rPr>
          <w:rFonts w:hint="eastAsia" w:ascii="仿宋_GB2312" w:hAnsi="仿宋_GB2312" w:eastAsia="仿宋_GB2312" w:cs="仿宋_GB2312"/>
          <w:sz w:val="24"/>
          <w:szCs w:val="24"/>
          <w:lang w:val="en-US" w:eastAsia="zh-CN"/>
        </w:rPr>
        <w:t>讲授</w:t>
      </w:r>
      <w:r>
        <w:rPr>
          <w:rFonts w:hint="eastAsia" w:ascii="仿宋_GB2312" w:hAnsi="仿宋_GB2312" w:eastAsia="仿宋_GB2312" w:cs="仿宋_GB2312"/>
          <w:sz w:val="24"/>
          <w:szCs w:val="24"/>
          <w:lang w:eastAsia="zh-CN"/>
        </w:rPr>
        <w:t>相结合的方式，多媒体教学</w:t>
      </w:r>
      <w:r>
        <w:rPr>
          <w:rFonts w:hint="eastAsia" w:ascii="仿宋_GB2312" w:hAnsi="仿宋_GB2312" w:eastAsia="仿宋_GB2312" w:cs="仿宋_GB2312"/>
          <w:sz w:val="24"/>
          <w:szCs w:val="24"/>
          <w:lang w:val="en-US" w:eastAsia="zh-CN"/>
        </w:rPr>
        <w:t>讲授各种分析仪器的产生与发展过程、基本原理</w:t>
      </w:r>
      <w:r>
        <w:rPr>
          <w:rFonts w:hint="eastAsia" w:ascii="仿宋_GB2312" w:hAnsi="仿宋_GB2312" w:eastAsia="仿宋_GB2312" w:cs="仿宋_GB2312"/>
          <w:sz w:val="24"/>
          <w:szCs w:val="24"/>
          <w:lang w:eastAsia="zh-CN"/>
        </w:rPr>
        <w:t>，帮助学生</w:t>
      </w:r>
      <w:r>
        <w:rPr>
          <w:rFonts w:hint="eastAsia" w:ascii="仿宋_GB2312" w:hAnsi="仿宋_GB2312" w:eastAsia="仿宋_GB2312" w:cs="仿宋_GB2312"/>
          <w:sz w:val="24"/>
          <w:szCs w:val="24"/>
          <w:lang w:val="en-US" w:eastAsia="zh-CN"/>
        </w:rPr>
        <w:t>全面了解和掌握轻化工程专业制浆造纸方向中常用仪器的分析方法、原理。</w:t>
      </w:r>
    </w:p>
    <w:p w14:paraId="6D80AD50">
      <w:pPr>
        <w:spacing w:line="360" w:lineRule="auto"/>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实验让</w:t>
      </w:r>
      <w:r>
        <w:rPr>
          <w:rFonts w:hint="eastAsia" w:ascii="仿宋_GB2312" w:hAnsi="仿宋_GB2312" w:eastAsia="仿宋_GB2312" w:cs="仿宋_GB2312"/>
          <w:sz w:val="24"/>
          <w:szCs w:val="24"/>
          <w:lang w:eastAsia="zh-CN"/>
        </w:rPr>
        <w:t>学生在实验室中亲自操作仪器，进行实验操作和数据记录，加深对理论知识的理解</w:t>
      </w:r>
      <w:r>
        <w:rPr>
          <w:rFonts w:hint="eastAsia" w:ascii="仿宋_GB2312" w:hAnsi="仿宋_GB2312" w:eastAsia="仿宋_GB2312" w:cs="仿宋_GB2312"/>
          <w:sz w:val="24"/>
          <w:szCs w:val="24"/>
          <w:lang w:val="en-US" w:eastAsia="zh-CN"/>
        </w:rPr>
        <w:t>，了解仪器构造及其使用方法和</w:t>
      </w:r>
      <w:r>
        <w:rPr>
          <w:rFonts w:hint="eastAsia" w:ascii="仿宋_GB2312" w:hAnsi="仿宋_GB2312" w:eastAsia="仿宋_GB2312" w:cs="仿宋_GB2312"/>
          <w:sz w:val="24"/>
          <w:szCs w:val="24"/>
          <w:lang w:eastAsia="zh-CN"/>
        </w:rPr>
        <w:t>注意事项。教师在实验过程中进行指导和纠正，确保学生正确操作仪器并得出准确的实验结果。</w:t>
      </w:r>
      <w:r>
        <w:rPr>
          <w:rFonts w:hint="eastAsia" w:ascii="仿宋_GB2312" w:hAnsi="仿宋_GB2312" w:eastAsia="仿宋_GB2312" w:cs="仿宋_GB2312"/>
          <w:sz w:val="24"/>
          <w:szCs w:val="24"/>
          <w:lang w:val="en-US" w:eastAsia="zh-CN"/>
        </w:rPr>
        <w:t>具备根据分析目的，正确选择分析方法的能力，并初步具备运用分析仪器对制浆造纸行业相关产品的物理和化学性能进行识别、表达、分析，并获得有效结论的能力。</w:t>
      </w:r>
    </w:p>
    <w:p w14:paraId="4BEF9CE3">
      <w:pPr>
        <w:numPr>
          <w:ilvl w:val="0"/>
          <w:numId w:val="0"/>
        </w:numPr>
        <w:spacing w:line="360" w:lineRule="auto"/>
        <w:rPr>
          <w:rFonts w:hint="eastAsia" w:ascii="黑体" w:hAnsi="黑体" w:eastAsia="黑体" w:cs="黑体"/>
          <w:b w:val="0"/>
          <w:bCs/>
          <w:color w:val="FF0000"/>
          <w:sz w:val="24"/>
        </w:rPr>
      </w:pPr>
      <w:r>
        <w:rPr>
          <w:rFonts w:hint="eastAsia" w:ascii="黑体" w:hAnsi="黑体" w:eastAsia="黑体" w:cs="黑体"/>
          <w:b/>
          <w:sz w:val="24"/>
        </w:rPr>
        <w:t>五、教学重点与难点</w:t>
      </w:r>
      <w:r>
        <w:rPr>
          <w:rFonts w:hint="eastAsia" w:ascii="黑体" w:hAnsi="黑体" w:eastAsia="黑体" w:cs="黑体"/>
          <w:b/>
          <w:sz w:val="24"/>
          <w:lang w:val="en-US" w:eastAsia="zh-CN"/>
        </w:rPr>
        <w:t>（如有实验，则需对实验教学重点与难点做必要的说明）</w:t>
      </w:r>
    </w:p>
    <w:p w14:paraId="20B98D1A">
      <w:pPr>
        <w:spacing w:line="360" w:lineRule="auto"/>
        <w:ind w:firstLine="482" w:firstLineChars="200"/>
        <w:rPr>
          <w:rFonts w:hint="eastAsia" w:ascii="黑体" w:hAnsi="黑体" w:eastAsia="黑体" w:cs="黑体"/>
          <w:b/>
          <w:sz w:val="24"/>
        </w:rPr>
      </w:pPr>
      <w:r>
        <w:rPr>
          <w:rFonts w:hint="eastAsia" w:ascii="黑体" w:hAnsi="黑体" w:eastAsia="黑体" w:cs="黑体"/>
          <w:b/>
          <w:sz w:val="24"/>
        </w:rPr>
        <w:t>（一）教学重点</w:t>
      </w:r>
    </w:p>
    <w:p w14:paraId="14F67FD9">
      <w:pPr>
        <w:spacing w:line="360" w:lineRule="exac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第一章 绪论</w:t>
      </w:r>
    </w:p>
    <w:p w14:paraId="54A96723">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b/>
          <w:bCs/>
          <w:sz w:val="24"/>
          <w:szCs w:val="24"/>
        </w:rPr>
        <w:t xml:space="preserve">   重点</w:t>
      </w:r>
      <w:r>
        <w:rPr>
          <w:rFonts w:hint="eastAsia" w:ascii="仿宋_GB2312" w:hAnsi="仿宋_GB2312" w:eastAsia="仿宋_GB2312" w:cs="仿宋_GB2312"/>
          <w:sz w:val="24"/>
          <w:szCs w:val="24"/>
        </w:rPr>
        <w:t>：仪器分析的方法和分类。</w:t>
      </w:r>
    </w:p>
    <w:p w14:paraId="63EB5251">
      <w:pPr>
        <w:spacing w:line="360" w:lineRule="exac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第二章 色谱法</w:t>
      </w:r>
    </w:p>
    <w:p w14:paraId="51746CF2">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b/>
          <w:bCs/>
          <w:sz w:val="24"/>
          <w:szCs w:val="24"/>
        </w:rPr>
        <w:t>重点</w:t>
      </w:r>
      <w:r>
        <w:rPr>
          <w:rFonts w:hint="eastAsia" w:ascii="仿宋_GB2312" w:hAnsi="仿宋_GB2312" w:eastAsia="仿宋_GB2312" w:cs="仿宋_GB2312"/>
          <w:sz w:val="24"/>
          <w:szCs w:val="24"/>
        </w:rPr>
        <w:t>：分离方法的选择</w:t>
      </w:r>
    </w:p>
    <w:p w14:paraId="473EA315">
      <w:pPr>
        <w:numPr>
          <w:ilvl w:val="0"/>
          <w:numId w:val="2"/>
        </w:numPr>
        <w:spacing w:line="360" w:lineRule="exac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光谱法（紫外和红外）</w:t>
      </w:r>
    </w:p>
    <w:p w14:paraId="03DA1AB1">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b/>
          <w:bCs/>
          <w:sz w:val="24"/>
          <w:szCs w:val="24"/>
        </w:rPr>
        <w:t xml:space="preserve"> 重点</w:t>
      </w:r>
      <w:r>
        <w:rPr>
          <w:rFonts w:hint="eastAsia" w:ascii="仿宋_GB2312" w:hAnsi="仿宋_GB2312" w:eastAsia="仿宋_GB2312" w:cs="仿宋_GB2312"/>
          <w:sz w:val="24"/>
          <w:szCs w:val="24"/>
        </w:rPr>
        <w:t>：红外吸收峰产生的原因及影响因素。</w:t>
      </w:r>
    </w:p>
    <w:p w14:paraId="3D2D1410">
      <w:pPr>
        <w:spacing w:line="360" w:lineRule="exact"/>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rPr>
        <w:t>第</w:t>
      </w:r>
      <w:r>
        <w:rPr>
          <w:rFonts w:hint="eastAsia" w:ascii="仿宋_GB2312" w:hAnsi="仿宋_GB2312" w:eastAsia="仿宋_GB2312" w:cs="仿宋_GB2312"/>
          <w:b/>
          <w:bCs/>
          <w:sz w:val="24"/>
          <w:szCs w:val="24"/>
          <w:lang w:val="en-US" w:eastAsia="zh-CN"/>
        </w:rPr>
        <w:t>四</w:t>
      </w:r>
      <w:r>
        <w:rPr>
          <w:rFonts w:hint="eastAsia" w:ascii="仿宋_GB2312" w:hAnsi="仿宋_GB2312" w:eastAsia="仿宋_GB2312" w:cs="仿宋_GB2312"/>
          <w:b/>
          <w:bCs/>
          <w:sz w:val="24"/>
          <w:szCs w:val="24"/>
        </w:rPr>
        <w:t>章 核磁共振</w:t>
      </w:r>
      <w:r>
        <w:rPr>
          <w:rFonts w:hint="eastAsia" w:ascii="仿宋_GB2312" w:hAnsi="仿宋_GB2312" w:eastAsia="仿宋_GB2312" w:cs="仿宋_GB2312"/>
          <w:b/>
          <w:bCs/>
          <w:sz w:val="24"/>
          <w:szCs w:val="24"/>
          <w:lang w:val="en-US" w:eastAsia="zh-CN"/>
        </w:rPr>
        <w:t>波谱</w:t>
      </w:r>
    </w:p>
    <w:p w14:paraId="120305A7">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b/>
          <w:bCs/>
          <w:sz w:val="24"/>
          <w:szCs w:val="24"/>
        </w:rPr>
        <w:t xml:space="preserve"> 重点</w:t>
      </w:r>
      <w:r>
        <w:rPr>
          <w:rFonts w:hint="eastAsia" w:ascii="仿宋_GB2312" w:hAnsi="仿宋_GB2312" w:eastAsia="仿宋_GB2312" w:cs="仿宋_GB2312"/>
          <w:sz w:val="24"/>
          <w:szCs w:val="24"/>
        </w:rPr>
        <w:t>：化学位移，</w:t>
      </w:r>
      <w:r>
        <w:rPr>
          <w:rFonts w:hint="eastAsia" w:ascii="仿宋_GB2312" w:hAnsi="仿宋_GB2312" w:eastAsia="仿宋_GB2312" w:cs="仿宋_GB2312"/>
          <w:bCs/>
          <w:sz w:val="24"/>
          <w:szCs w:val="24"/>
        </w:rPr>
        <w:t>自旋偶合及自旋裂分。</w:t>
      </w:r>
    </w:p>
    <w:p w14:paraId="54E6C7F6">
      <w:pPr>
        <w:spacing w:line="360" w:lineRule="auto"/>
        <w:ind w:firstLine="482" w:firstLineChars="200"/>
        <w:rPr>
          <w:rFonts w:hint="eastAsia" w:ascii="黑体" w:hAnsi="黑体" w:eastAsia="黑体" w:cs="黑体"/>
          <w:b/>
          <w:sz w:val="24"/>
        </w:rPr>
      </w:pPr>
      <w:r>
        <w:rPr>
          <w:rFonts w:hint="eastAsia" w:ascii="黑体" w:hAnsi="黑体" w:eastAsia="黑体" w:cs="黑体"/>
          <w:b/>
          <w:sz w:val="24"/>
        </w:rPr>
        <w:t>（二）教学难点</w:t>
      </w:r>
    </w:p>
    <w:p w14:paraId="78AC46DB">
      <w:pPr>
        <w:spacing w:line="360" w:lineRule="exac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第一章 绪论</w:t>
      </w:r>
    </w:p>
    <w:p w14:paraId="1C6C70DE">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b/>
          <w:bCs/>
          <w:sz w:val="24"/>
          <w:szCs w:val="24"/>
        </w:rPr>
        <w:t xml:space="preserve">   难点</w:t>
      </w:r>
      <w:r>
        <w:rPr>
          <w:rFonts w:hint="eastAsia" w:ascii="仿宋_GB2312" w:hAnsi="仿宋_GB2312" w:eastAsia="仿宋_GB2312" w:cs="仿宋_GB2312"/>
          <w:sz w:val="24"/>
          <w:szCs w:val="24"/>
        </w:rPr>
        <w:t>：现代仪器分析的分类及其特点</w:t>
      </w:r>
    </w:p>
    <w:p w14:paraId="799B79E6">
      <w:pPr>
        <w:spacing w:line="360" w:lineRule="exac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第二章 色谱法</w:t>
      </w:r>
    </w:p>
    <w:p w14:paraId="4DC89F7B">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b/>
          <w:bCs/>
          <w:sz w:val="24"/>
          <w:szCs w:val="24"/>
        </w:rPr>
        <w:t>难点</w:t>
      </w:r>
      <w:r>
        <w:rPr>
          <w:rFonts w:hint="eastAsia" w:ascii="仿宋_GB2312" w:hAnsi="仿宋_GB2312" w:eastAsia="仿宋_GB2312" w:cs="仿宋_GB2312"/>
          <w:sz w:val="24"/>
          <w:szCs w:val="24"/>
        </w:rPr>
        <w:t>：分离理论。</w:t>
      </w:r>
    </w:p>
    <w:p w14:paraId="692ABC99">
      <w:pPr>
        <w:numPr>
          <w:ilvl w:val="0"/>
          <w:numId w:val="2"/>
        </w:numPr>
        <w:spacing w:line="360" w:lineRule="exac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光谱法（紫外和红外）</w:t>
      </w:r>
      <w:bookmarkStart w:id="5" w:name="_GoBack"/>
      <w:bookmarkEnd w:id="5"/>
    </w:p>
    <w:p w14:paraId="1E82C6F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难点</w:t>
      </w:r>
      <w:r>
        <w:rPr>
          <w:rFonts w:hint="eastAsia" w:ascii="仿宋_GB2312" w:hAnsi="仿宋_GB2312" w:eastAsia="仿宋_GB2312" w:cs="仿宋_GB2312"/>
          <w:sz w:val="24"/>
          <w:szCs w:val="24"/>
        </w:rPr>
        <w:t>：紫外－可见吸收光谱</w:t>
      </w:r>
      <w:r>
        <w:rPr>
          <w:rFonts w:hint="eastAsia" w:ascii="仿宋_GB2312" w:hAnsi="仿宋_GB2312" w:eastAsia="仿宋_GB2312" w:cs="仿宋_GB2312"/>
          <w:sz w:val="24"/>
          <w:szCs w:val="24"/>
          <w:lang w:val="en-US" w:eastAsia="zh-CN"/>
        </w:rPr>
        <w:t>和红外吸收光谱的解析</w:t>
      </w:r>
      <w:r>
        <w:rPr>
          <w:rFonts w:hint="eastAsia" w:ascii="仿宋_GB2312" w:hAnsi="仿宋_GB2312" w:eastAsia="仿宋_GB2312" w:cs="仿宋_GB2312"/>
          <w:sz w:val="24"/>
          <w:szCs w:val="24"/>
        </w:rPr>
        <w:t>。</w:t>
      </w:r>
    </w:p>
    <w:p w14:paraId="55B63033">
      <w:pPr>
        <w:spacing w:line="360" w:lineRule="exac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第四章 核磁共振</w:t>
      </w:r>
      <w:r>
        <w:rPr>
          <w:rFonts w:hint="eastAsia" w:ascii="仿宋_GB2312" w:hAnsi="仿宋_GB2312" w:eastAsia="仿宋_GB2312" w:cs="仿宋_GB2312"/>
          <w:b/>
          <w:bCs/>
          <w:sz w:val="24"/>
          <w:szCs w:val="24"/>
          <w:lang w:val="en-US" w:eastAsia="zh-CN"/>
        </w:rPr>
        <w:t>波谱</w:t>
      </w:r>
    </w:p>
    <w:p w14:paraId="6EDBA727">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b/>
          <w:bCs/>
          <w:sz w:val="24"/>
          <w:szCs w:val="24"/>
        </w:rPr>
        <w:t xml:space="preserve"> 难点</w:t>
      </w:r>
      <w:r>
        <w:rPr>
          <w:rFonts w:hint="eastAsia" w:ascii="仿宋_GB2312" w:hAnsi="仿宋_GB2312" w:eastAsia="仿宋_GB2312" w:cs="仿宋_GB2312"/>
          <w:sz w:val="24"/>
          <w:szCs w:val="24"/>
        </w:rPr>
        <w:t>：</w:t>
      </w:r>
      <w:r>
        <w:rPr>
          <w:rFonts w:hint="eastAsia" w:ascii="仿宋_GB2312" w:hAnsi="仿宋_GB2312" w:eastAsia="仿宋_GB2312" w:cs="仿宋_GB2312"/>
          <w:bCs/>
          <w:sz w:val="24"/>
          <w:szCs w:val="24"/>
        </w:rPr>
        <w:t>氢谱图谱的解析。</w:t>
      </w:r>
    </w:p>
    <w:p w14:paraId="62A40F90">
      <w:pPr>
        <w:numPr>
          <w:ilvl w:val="0"/>
          <w:numId w:val="3"/>
        </w:numPr>
        <w:spacing w:line="360" w:lineRule="exact"/>
        <w:ind w:firstLine="420"/>
        <w:jc w:val="left"/>
        <w:rPr>
          <w:rFonts w:hint="eastAsia" w:ascii="黑体" w:hAnsi="黑体" w:eastAsia="黑体" w:cs="黑体"/>
          <w:b/>
          <w:sz w:val="24"/>
          <w:lang w:val="en-US" w:eastAsia="zh-CN"/>
        </w:rPr>
      </w:pPr>
      <w:r>
        <w:rPr>
          <w:rFonts w:hint="eastAsia" w:ascii="黑体" w:hAnsi="黑体" w:eastAsia="黑体" w:cs="黑体"/>
          <w:b/>
          <w:sz w:val="24"/>
          <w:lang w:val="en-US" w:eastAsia="zh-CN"/>
        </w:rPr>
        <w:t>实验教学重点</w:t>
      </w:r>
    </w:p>
    <w:p w14:paraId="351C00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sz w:val="24"/>
          <w:szCs w:val="24"/>
        </w:rPr>
      </w:pPr>
      <w:r>
        <w:rPr>
          <w:rFonts w:hint="default" w:ascii="仿宋_GB2312" w:hAnsi="仿宋_GB2312" w:eastAsia="仿宋_GB2312" w:cs="仿宋_GB2312"/>
          <w:sz w:val="24"/>
          <w:szCs w:val="24"/>
        </w:rPr>
        <w:t>仪器操作是仪器教学的核心环节。学生需要熟练掌握仪器的各项功能、操作步骤和注意事项，以便在实验过程中能够灵活运用。</w:t>
      </w:r>
    </w:p>
    <w:p w14:paraId="3A8D35CE">
      <w:pPr>
        <w:numPr>
          <w:ilvl w:val="0"/>
          <w:numId w:val="3"/>
        </w:numPr>
        <w:spacing w:line="360" w:lineRule="exact"/>
        <w:ind w:firstLine="420"/>
        <w:jc w:val="left"/>
        <w:rPr>
          <w:rFonts w:hint="eastAsia" w:ascii="黑体" w:hAnsi="黑体" w:eastAsia="黑体" w:cs="黑体"/>
          <w:b/>
          <w:sz w:val="24"/>
          <w:lang w:val="en-US" w:eastAsia="zh-CN"/>
        </w:rPr>
      </w:pPr>
      <w:r>
        <w:rPr>
          <w:rFonts w:hint="eastAsia" w:ascii="黑体" w:hAnsi="黑体" w:eastAsia="黑体" w:cs="黑体"/>
          <w:b/>
          <w:sz w:val="24"/>
          <w:lang w:val="en-US" w:eastAsia="zh-CN"/>
        </w:rPr>
        <w:t>实验教学难点</w:t>
      </w:r>
    </w:p>
    <w:p w14:paraId="33E458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高精尖的实验设备</w:t>
      </w:r>
      <w:r>
        <w:rPr>
          <w:rFonts w:hint="default" w:ascii="仿宋_GB2312" w:hAnsi="仿宋_GB2312" w:eastAsia="仿宋_GB2312" w:cs="仿宋_GB2312"/>
          <w:sz w:val="24"/>
          <w:szCs w:val="24"/>
        </w:rPr>
        <w:t>通常具有复杂的操作界面和严格的操作步骤。</w:t>
      </w:r>
      <w:r>
        <w:rPr>
          <w:rFonts w:hint="eastAsia" w:ascii="仿宋_GB2312" w:hAnsi="仿宋_GB2312" w:eastAsia="仿宋_GB2312" w:cs="仿宋_GB2312"/>
          <w:sz w:val="24"/>
          <w:szCs w:val="24"/>
          <w:lang w:val="en-US" w:eastAsia="zh-CN"/>
        </w:rPr>
        <w:t>学生</w:t>
      </w:r>
      <w:r>
        <w:rPr>
          <w:rFonts w:hint="default" w:ascii="仿宋_GB2312" w:hAnsi="仿宋_GB2312" w:eastAsia="仿宋_GB2312" w:cs="仿宋_GB2312"/>
          <w:sz w:val="24"/>
          <w:szCs w:val="24"/>
        </w:rPr>
        <w:t>需要掌握正确的操作方法，避免因误操作导致仪器损坏或实验失败。</w:t>
      </w:r>
    </w:p>
    <w:bookmarkEnd w:id="0"/>
    <w:p w14:paraId="7DE27AE8">
      <w:pPr>
        <w:spacing w:line="360" w:lineRule="auto"/>
        <w:ind w:firstLine="482" w:firstLineChars="200"/>
        <w:rPr>
          <w:rFonts w:hint="eastAsia" w:ascii="黑体" w:hAnsi="黑体" w:eastAsia="黑体" w:cs="黑体"/>
          <w:b/>
          <w:sz w:val="24"/>
        </w:rPr>
      </w:pPr>
      <w:r>
        <w:rPr>
          <w:rFonts w:hint="eastAsia" w:ascii="黑体" w:hAnsi="黑体" w:eastAsia="黑体" w:cs="黑体"/>
          <w:b/>
          <w:sz w:val="24"/>
        </w:rPr>
        <w:t>六、教学内容、基本要求与学时分配</w:t>
      </w:r>
    </w:p>
    <w:tbl>
      <w:tblPr>
        <w:tblStyle w:val="7"/>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77"/>
        <w:gridCol w:w="2305"/>
        <w:gridCol w:w="2358"/>
        <w:gridCol w:w="709"/>
        <w:gridCol w:w="975"/>
        <w:gridCol w:w="1581"/>
      </w:tblGrid>
      <w:tr w14:paraId="47A90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tblHeader/>
          <w:jc w:val="center"/>
        </w:trPr>
        <w:tc>
          <w:tcPr>
            <w:tcW w:w="577" w:type="dxa"/>
            <w:tcMar>
              <w:top w:w="57" w:type="dxa"/>
              <w:bottom w:w="57" w:type="dxa"/>
            </w:tcMar>
            <w:vAlign w:val="center"/>
          </w:tcPr>
          <w:p w14:paraId="0D9AF4A9">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序号</w:t>
            </w:r>
          </w:p>
        </w:tc>
        <w:tc>
          <w:tcPr>
            <w:tcW w:w="2305" w:type="dxa"/>
            <w:tcMar>
              <w:top w:w="57" w:type="dxa"/>
              <w:bottom w:w="57" w:type="dxa"/>
            </w:tcMar>
            <w:vAlign w:val="center"/>
          </w:tcPr>
          <w:p w14:paraId="345B1C7A">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教学内容</w:t>
            </w:r>
          </w:p>
        </w:tc>
        <w:tc>
          <w:tcPr>
            <w:tcW w:w="2358" w:type="dxa"/>
            <w:tcMar>
              <w:top w:w="57" w:type="dxa"/>
              <w:bottom w:w="57" w:type="dxa"/>
            </w:tcMar>
            <w:vAlign w:val="center"/>
          </w:tcPr>
          <w:p w14:paraId="721503A3">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基本要求</w:t>
            </w:r>
          </w:p>
        </w:tc>
        <w:tc>
          <w:tcPr>
            <w:tcW w:w="709" w:type="dxa"/>
            <w:tcMar>
              <w:top w:w="57" w:type="dxa"/>
              <w:bottom w:w="57" w:type="dxa"/>
            </w:tcMar>
            <w:vAlign w:val="center"/>
          </w:tcPr>
          <w:p w14:paraId="5855B453">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学时</w:t>
            </w:r>
          </w:p>
        </w:tc>
        <w:tc>
          <w:tcPr>
            <w:tcW w:w="975" w:type="dxa"/>
            <w:tcMar>
              <w:top w:w="57" w:type="dxa"/>
              <w:bottom w:w="57" w:type="dxa"/>
            </w:tcMar>
            <w:vAlign w:val="center"/>
          </w:tcPr>
          <w:p w14:paraId="55F9C90C">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教学</w:t>
            </w:r>
          </w:p>
          <w:p w14:paraId="5D848C5E">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方式</w:t>
            </w:r>
          </w:p>
        </w:tc>
        <w:tc>
          <w:tcPr>
            <w:tcW w:w="1581" w:type="dxa"/>
            <w:tcMar>
              <w:top w:w="57" w:type="dxa"/>
              <w:bottom w:w="57" w:type="dxa"/>
            </w:tcMar>
            <w:vAlign w:val="center"/>
          </w:tcPr>
          <w:p w14:paraId="5E216BFD">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对应课程目标</w:t>
            </w:r>
          </w:p>
        </w:tc>
      </w:tr>
      <w:tr w14:paraId="4CB1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11D8EC62">
            <w:pPr>
              <w:spacing w:line="360" w:lineRule="auto"/>
              <w:ind w:firstLine="240" w:firstLineChars="1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2305" w:type="dxa"/>
            <w:tcMar>
              <w:top w:w="57" w:type="dxa"/>
              <w:bottom w:w="57" w:type="dxa"/>
            </w:tcMar>
            <w:vAlign w:val="center"/>
          </w:tcPr>
          <w:p w14:paraId="3D6EE0F9">
            <w:pPr>
              <w:spacing w:line="360"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rPr>
              <w:t>第一章 绪论</w:t>
            </w:r>
          </w:p>
        </w:tc>
        <w:tc>
          <w:tcPr>
            <w:tcW w:w="2358" w:type="dxa"/>
            <w:tcMar>
              <w:top w:w="57" w:type="dxa"/>
              <w:bottom w:w="57" w:type="dxa"/>
            </w:tcMar>
            <w:vAlign w:val="center"/>
          </w:tcPr>
          <w:p w14:paraId="4991E2F3">
            <w:pPr>
              <w:spacing w:line="36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分析化学的组成部分；化学分析和仪器分析的定义和区别。</w:t>
            </w:r>
            <w:r>
              <w:rPr>
                <w:rFonts w:hint="eastAsia" w:ascii="仿宋_GB2312" w:hAnsi="仿宋_GB2312" w:eastAsia="仿宋_GB2312" w:cs="仿宋_GB2312"/>
                <w:sz w:val="24"/>
                <w:szCs w:val="24"/>
                <w:lang w:val="en-US" w:eastAsia="zh-CN"/>
              </w:rPr>
              <w:t>了解</w:t>
            </w:r>
            <w:r>
              <w:rPr>
                <w:rFonts w:hint="eastAsia" w:ascii="仿宋_GB2312" w:hAnsi="仿宋_GB2312" w:eastAsia="仿宋_GB2312" w:cs="仿宋_GB2312"/>
                <w:sz w:val="24"/>
                <w:szCs w:val="24"/>
              </w:rPr>
              <w:t>主要仪器的分类；各种分类测量的物理参数。仪器分析新方法简介及其发展状况</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仪器分析的发展历史。</w:t>
            </w:r>
          </w:p>
        </w:tc>
        <w:tc>
          <w:tcPr>
            <w:tcW w:w="709" w:type="dxa"/>
            <w:tcMar>
              <w:top w:w="57" w:type="dxa"/>
              <w:bottom w:w="57" w:type="dxa"/>
            </w:tcMar>
            <w:vAlign w:val="center"/>
          </w:tcPr>
          <w:p w14:paraId="2CA6DE7B">
            <w:pPr>
              <w:spacing w:line="360" w:lineRule="auto"/>
              <w:ind w:firstLine="240" w:firstLineChars="1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975" w:type="dxa"/>
            <w:tcMar>
              <w:top w:w="57" w:type="dxa"/>
              <w:bottom w:w="57" w:type="dxa"/>
            </w:tcMar>
            <w:vAlign w:val="center"/>
          </w:tcPr>
          <w:p w14:paraId="36B51972">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讲授</w:t>
            </w:r>
          </w:p>
          <w:p w14:paraId="4C98F1D2">
            <w:pPr>
              <w:spacing w:line="360"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rPr>
              <w:t>讨论</w:t>
            </w:r>
          </w:p>
        </w:tc>
        <w:tc>
          <w:tcPr>
            <w:tcW w:w="1581" w:type="dxa"/>
            <w:shd w:val="clear" w:color="auto" w:fill="auto"/>
            <w:tcMar>
              <w:top w:w="57" w:type="dxa"/>
              <w:bottom w:w="57" w:type="dxa"/>
            </w:tcMar>
            <w:vAlign w:val="center"/>
          </w:tcPr>
          <w:p w14:paraId="3EA78E35">
            <w:pPr>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z w:val="24"/>
                <w:szCs w:val="24"/>
                <w:lang w:val="en-US" w:eastAsia="zh-CN"/>
              </w:rPr>
              <w:t>课程目标1</w:t>
            </w:r>
          </w:p>
        </w:tc>
      </w:tr>
      <w:tr w14:paraId="2DFCA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589731EE">
            <w:pPr>
              <w:spacing w:line="360" w:lineRule="auto"/>
              <w:ind w:firstLine="240" w:firstLineChars="1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2305" w:type="dxa"/>
            <w:tcMar>
              <w:top w:w="57" w:type="dxa"/>
              <w:bottom w:w="57" w:type="dxa"/>
            </w:tcMar>
            <w:vAlign w:val="center"/>
          </w:tcPr>
          <w:p w14:paraId="4F807FF2">
            <w:pPr>
              <w:spacing w:line="360" w:lineRule="exac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第二章 色谱法</w:t>
            </w:r>
          </w:p>
          <w:p w14:paraId="63D47076">
            <w:pPr>
              <w:spacing w:line="360" w:lineRule="auto"/>
              <w:jc w:val="left"/>
              <w:rPr>
                <w:rFonts w:hint="eastAsia" w:ascii="仿宋_GB2312" w:hAnsi="仿宋_GB2312" w:eastAsia="仿宋_GB2312" w:cs="仿宋_GB2312"/>
                <w:sz w:val="24"/>
                <w:szCs w:val="24"/>
                <w:lang w:val="en-US" w:eastAsia="zh-CN"/>
              </w:rPr>
            </w:pPr>
          </w:p>
        </w:tc>
        <w:tc>
          <w:tcPr>
            <w:tcW w:w="2358" w:type="dxa"/>
            <w:tcMar>
              <w:top w:w="57" w:type="dxa"/>
              <w:bottom w:w="57" w:type="dxa"/>
            </w:tcMar>
            <w:vAlign w:val="center"/>
          </w:tcPr>
          <w:p w14:paraId="450B4982">
            <w:pPr>
              <w:spacing w:line="36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了解</w:t>
            </w:r>
            <w:r>
              <w:rPr>
                <w:rFonts w:hint="eastAsia" w:ascii="仿宋_GB2312" w:hAnsi="仿宋_GB2312" w:eastAsia="仿宋_GB2312" w:cs="仿宋_GB2312"/>
                <w:sz w:val="24"/>
                <w:szCs w:val="24"/>
              </w:rPr>
              <w:t>色谱法起源；色谱法分离过程；色谱法分类。</w:t>
            </w:r>
            <w:r>
              <w:rPr>
                <w:rFonts w:hint="eastAsia" w:ascii="仿宋_GB2312" w:hAnsi="仿宋_GB2312" w:eastAsia="仿宋_GB2312" w:cs="仿宋_GB2312"/>
                <w:sz w:val="24"/>
                <w:szCs w:val="24"/>
                <w:lang w:val="en-US" w:eastAsia="zh-CN"/>
              </w:rPr>
              <w:t>了解</w:t>
            </w:r>
            <w:r>
              <w:rPr>
                <w:rFonts w:hint="eastAsia" w:ascii="仿宋_GB2312" w:hAnsi="仿宋_GB2312" w:eastAsia="仿宋_GB2312" w:cs="仿宋_GB2312"/>
                <w:sz w:val="24"/>
                <w:szCs w:val="24"/>
              </w:rPr>
              <w:t>塔板理论内容及成功之处；速率理论内容及对改进色谱分析条件的指导作用。分离度定义及应用；基本色谱分离方程式；提高分离度的途径。</w:t>
            </w:r>
            <w:r>
              <w:rPr>
                <w:rFonts w:hint="eastAsia" w:ascii="仿宋_GB2312" w:hAnsi="仿宋_GB2312" w:eastAsia="仿宋_GB2312" w:cs="仿宋_GB2312"/>
                <w:bCs/>
                <w:sz w:val="24"/>
                <w:szCs w:val="24"/>
              </w:rPr>
              <w:t>各种色谱定性分析方法及特点；峰面积测量方法；定量校正因子；不同定量计算方法及特点。气相色谱流程；气相色谱仪的结构</w:t>
            </w:r>
            <w:r>
              <w:rPr>
                <w:rFonts w:hint="eastAsia" w:ascii="仿宋_GB2312" w:hAnsi="仿宋_GB2312" w:eastAsia="仿宋_GB2312" w:cs="仿宋_GB2312"/>
                <w:sz w:val="24"/>
                <w:szCs w:val="24"/>
              </w:rPr>
              <w:t>。HPLC的概念及特点；</w:t>
            </w:r>
            <w:r>
              <w:rPr>
                <w:rFonts w:hint="eastAsia" w:ascii="仿宋_GB2312" w:hAnsi="仿宋_GB2312" w:eastAsia="仿宋_GB2312" w:cs="仿宋_GB2312"/>
                <w:bCs/>
                <w:sz w:val="24"/>
                <w:szCs w:val="24"/>
              </w:rPr>
              <w:t>液相色谱分离原理及分类</w:t>
            </w:r>
            <w:r>
              <w:rPr>
                <w:rFonts w:hint="eastAsia" w:ascii="仿宋_GB2312" w:hAnsi="仿宋_GB2312" w:eastAsia="仿宋_GB2312" w:cs="仿宋_GB2312"/>
                <w:sz w:val="24"/>
                <w:szCs w:val="24"/>
              </w:rPr>
              <w:t>；</w:t>
            </w:r>
            <w:r>
              <w:rPr>
                <w:rFonts w:hint="eastAsia" w:ascii="仿宋_GB2312" w:hAnsi="仿宋_GB2312" w:eastAsia="仿宋_GB2312" w:cs="仿宋_GB2312"/>
                <w:bCs/>
                <w:sz w:val="24"/>
                <w:szCs w:val="24"/>
              </w:rPr>
              <w:t>液相色谱与气相色谱的比较</w:t>
            </w:r>
            <w:r>
              <w:rPr>
                <w:rFonts w:hint="eastAsia" w:ascii="仿宋_GB2312" w:hAnsi="仿宋_GB2312" w:eastAsia="仿宋_GB2312" w:cs="仿宋_GB2312"/>
                <w:sz w:val="24"/>
                <w:szCs w:val="24"/>
              </w:rPr>
              <w:t>。</w:t>
            </w:r>
            <w:r>
              <w:rPr>
                <w:rFonts w:hint="eastAsia" w:ascii="仿宋_GB2312" w:hAnsi="仿宋_GB2312" w:eastAsia="仿宋_GB2312" w:cs="仿宋_GB2312"/>
                <w:bCs/>
                <w:sz w:val="24"/>
                <w:szCs w:val="24"/>
              </w:rPr>
              <w:t>固定相分类及特点；流动相要求及选择。</w:t>
            </w:r>
          </w:p>
        </w:tc>
        <w:tc>
          <w:tcPr>
            <w:tcW w:w="709" w:type="dxa"/>
            <w:tcMar>
              <w:top w:w="57" w:type="dxa"/>
              <w:bottom w:w="57" w:type="dxa"/>
            </w:tcMar>
            <w:vAlign w:val="center"/>
          </w:tcPr>
          <w:p w14:paraId="6DAA23F1">
            <w:pPr>
              <w:spacing w:line="360" w:lineRule="auto"/>
              <w:ind w:firstLine="240" w:firstLineChars="1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975" w:type="dxa"/>
            <w:tcMar>
              <w:top w:w="57" w:type="dxa"/>
              <w:bottom w:w="57" w:type="dxa"/>
            </w:tcMar>
            <w:vAlign w:val="center"/>
          </w:tcPr>
          <w:p w14:paraId="5EC62FCB">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讲授</w:t>
            </w:r>
          </w:p>
          <w:p w14:paraId="4955C3FA">
            <w:pP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讨论</w:t>
            </w:r>
          </w:p>
          <w:p w14:paraId="7C9D21DD">
            <w:pPr>
              <w:spacing w:line="360" w:lineRule="auto"/>
              <w:jc w:val="left"/>
              <w:rPr>
                <w:rFonts w:hint="eastAsia" w:ascii="仿宋_GB2312" w:hAnsi="仿宋_GB2312" w:eastAsia="仿宋_GB2312" w:cs="仿宋_GB2312"/>
                <w:sz w:val="24"/>
                <w:szCs w:val="24"/>
                <w:lang w:val="en-US" w:eastAsia="zh-CN"/>
              </w:rPr>
            </w:pPr>
          </w:p>
        </w:tc>
        <w:tc>
          <w:tcPr>
            <w:tcW w:w="1581" w:type="dxa"/>
            <w:shd w:val="clear" w:color="auto" w:fill="auto"/>
            <w:tcMar>
              <w:top w:w="57" w:type="dxa"/>
              <w:bottom w:w="57" w:type="dxa"/>
            </w:tcMar>
            <w:vAlign w:val="center"/>
          </w:tcPr>
          <w:p w14:paraId="583EAC77">
            <w:pPr>
              <w:spacing w:line="360"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课程目标1</w:t>
            </w:r>
          </w:p>
          <w:p w14:paraId="1231A2F4">
            <w:pPr>
              <w:spacing w:line="360"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课程目标2</w:t>
            </w:r>
          </w:p>
          <w:p w14:paraId="5D0E76D6">
            <w:pPr>
              <w:spacing w:line="360" w:lineRule="auto"/>
              <w:jc w:val="left"/>
              <w:rPr>
                <w:rFonts w:hint="eastAsia" w:ascii="仿宋_GB2312" w:hAnsi="仿宋_GB2312" w:eastAsia="仿宋_GB2312" w:cs="仿宋_GB2312"/>
                <w:kern w:val="0"/>
                <w:sz w:val="24"/>
                <w:szCs w:val="24"/>
                <w:lang w:val="en-US" w:eastAsia="zh-CN" w:bidi="ar-SA"/>
              </w:rPr>
            </w:pPr>
          </w:p>
        </w:tc>
      </w:tr>
      <w:tr w14:paraId="0CBE8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352BE39B">
            <w:pPr>
              <w:spacing w:line="360" w:lineRule="auto"/>
              <w:ind w:firstLine="240" w:firstLineChars="1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2305" w:type="dxa"/>
            <w:tcMar>
              <w:top w:w="57" w:type="dxa"/>
              <w:bottom w:w="57" w:type="dxa"/>
            </w:tcMar>
            <w:vAlign w:val="center"/>
          </w:tcPr>
          <w:p w14:paraId="6CE1AE65">
            <w:pPr>
              <w:spacing w:line="360" w:lineRule="exact"/>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rPr>
              <w:t>第三</w:t>
            </w:r>
            <w:r>
              <w:rPr>
                <w:rFonts w:hint="eastAsia" w:ascii="仿宋_GB2312" w:hAnsi="仿宋_GB2312" w:eastAsia="仿宋_GB2312" w:cs="仿宋_GB2312"/>
                <w:b/>
                <w:bCs/>
                <w:sz w:val="24"/>
                <w:szCs w:val="24"/>
                <w:lang w:val="en-US" w:eastAsia="zh-CN"/>
              </w:rPr>
              <w:t xml:space="preserve">章 </w:t>
            </w:r>
            <w:r>
              <w:rPr>
                <w:rFonts w:hint="eastAsia" w:ascii="仿宋_GB2312" w:hAnsi="仿宋_GB2312" w:eastAsia="仿宋_GB2312" w:cs="仿宋_GB2312"/>
                <w:b/>
                <w:bCs/>
                <w:sz w:val="24"/>
                <w:szCs w:val="24"/>
              </w:rPr>
              <w:t>光谱法（紫外和红外）</w:t>
            </w:r>
          </w:p>
          <w:p w14:paraId="618459FB">
            <w:pPr>
              <w:spacing w:line="360" w:lineRule="auto"/>
              <w:jc w:val="left"/>
              <w:rPr>
                <w:rFonts w:hint="eastAsia" w:ascii="仿宋_GB2312" w:hAnsi="仿宋_GB2312" w:eastAsia="仿宋_GB2312" w:cs="仿宋_GB2312"/>
                <w:sz w:val="24"/>
                <w:szCs w:val="24"/>
                <w:lang w:val="en-US" w:eastAsia="zh-CN"/>
              </w:rPr>
            </w:pPr>
          </w:p>
        </w:tc>
        <w:tc>
          <w:tcPr>
            <w:tcW w:w="2358" w:type="dxa"/>
            <w:tcMar>
              <w:top w:w="57" w:type="dxa"/>
              <w:bottom w:w="57" w:type="dxa"/>
            </w:tcMar>
            <w:vAlign w:val="center"/>
          </w:tcPr>
          <w:p w14:paraId="5B7ED10C">
            <w:pPr>
              <w:spacing w:line="36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了解</w:t>
            </w:r>
            <w:r>
              <w:rPr>
                <w:rFonts w:hint="eastAsia" w:ascii="仿宋_GB2312" w:hAnsi="仿宋_GB2312" w:eastAsia="仿宋_GB2312" w:cs="仿宋_GB2312"/>
                <w:sz w:val="24"/>
                <w:szCs w:val="24"/>
              </w:rPr>
              <w:t>分子吸收光谱的产生；</w:t>
            </w:r>
            <w:r>
              <w:rPr>
                <w:rFonts w:hint="eastAsia" w:ascii="仿宋_GB2312" w:hAnsi="仿宋_GB2312" w:eastAsia="仿宋_GB2312" w:cs="仿宋_GB2312"/>
                <w:bCs/>
                <w:sz w:val="24"/>
                <w:szCs w:val="24"/>
              </w:rPr>
              <w:t>分子吸收光谱类型。</w:t>
            </w:r>
            <w:r>
              <w:rPr>
                <w:rFonts w:hint="eastAsia" w:ascii="仿宋_GB2312" w:hAnsi="仿宋_GB2312" w:eastAsia="仿宋_GB2312" w:cs="仿宋_GB2312"/>
                <w:sz w:val="24"/>
                <w:szCs w:val="24"/>
              </w:rPr>
              <w:t>吸收定律内容；吸收定律的适用范围。</w:t>
            </w:r>
            <w:r>
              <w:rPr>
                <w:rFonts w:hint="eastAsia" w:ascii="仿宋_GB2312" w:hAnsi="仿宋_GB2312" w:eastAsia="仿宋_GB2312" w:cs="仿宋_GB2312"/>
                <w:sz w:val="24"/>
                <w:szCs w:val="24"/>
                <w:lang w:val="en-US" w:eastAsia="zh-CN"/>
              </w:rPr>
              <w:t>掌握</w:t>
            </w:r>
            <w:r>
              <w:rPr>
                <w:rFonts w:hint="eastAsia" w:ascii="仿宋_GB2312" w:hAnsi="仿宋_GB2312" w:eastAsia="仿宋_GB2312" w:cs="仿宋_GB2312"/>
                <w:sz w:val="24"/>
                <w:szCs w:val="24"/>
              </w:rPr>
              <w:t>单组分的定量分析；多组分的定量分析；双波长分光光度法。</w:t>
            </w:r>
          </w:p>
        </w:tc>
        <w:tc>
          <w:tcPr>
            <w:tcW w:w="709" w:type="dxa"/>
            <w:tcMar>
              <w:top w:w="57" w:type="dxa"/>
              <w:bottom w:w="57" w:type="dxa"/>
            </w:tcMar>
            <w:vAlign w:val="center"/>
          </w:tcPr>
          <w:p w14:paraId="69505EBB">
            <w:pPr>
              <w:spacing w:line="360" w:lineRule="auto"/>
              <w:ind w:firstLine="240" w:firstLineChars="1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975" w:type="dxa"/>
            <w:tcMar>
              <w:top w:w="57" w:type="dxa"/>
              <w:bottom w:w="57" w:type="dxa"/>
            </w:tcMar>
            <w:vAlign w:val="center"/>
          </w:tcPr>
          <w:p w14:paraId="0FB43007">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讲授</w:t>
            </w:r>
          </w:p>
          <w:p w14:paraId="3DB862B5">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讨论</w:t>
            </w:r>
          </w:p>
          <w:p w14:paraId="7C0647FA">
            <w:pPr>
              <w:spacing w:line="360" w:lineRule="auto"/>
              <w:jc w:val="left"/>
              <w:rPr>
                <w:rFonts w:hint="eastAsia" w:ascii="仿宋_GB2312" w:hAnsi="仿宋_GB2312" w:eastAsia="仿宋_GB2312" w:cs="仿宋_GB2312"/>
                <w:sz w:val="24"/>
                <w:szCs w:val="24"/>
                <w:lang w:val="en-US" w:eastAsia="zh-CN"/>
              </w:rPr>
            </w:pPr>
          </w:p>
        </w:tc>
        <w:tc>
          <w:tcPr>
            <w:tcW w:w="1581" w:type="dxa"/>
            <w:shd w:val="clear" w:color="auto" w:fill="auto"/>
            <w:tcMar>
              <w:top w:w="57" w:type="dxa"/>
              <w:bottom w:w="57" w:type="dxa"/>
            </w:tcMar>
            <w:vAlign w:val="center"/>
          </w:tcPr>
          <w:p w14:paraId="04E5C016">
            <w:pPr>
              <w:spacing w:line="360"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课程目标1</w:t>
            </w:r>
          </w:p>
          <w:p w14:paraId="66E369A5">
            <w:pPr>
              <w:spacing w:line="360"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课程目标2</w:t>
            </w:r>
          </w:p>
          <w:p w14:paraId="18CAB7DC">
            <w:pPr>
              <w:spacing w:line="360" w:lineRule="auto"/>
              <w:jc w:val="left"/>
              <w:rPr>
                <w:rFonts w:hint="eastAsia" w:ascii="仿宋_GB2312" w:hAnsi="仿宋_GB2312" w:eastAsia="仿宋_GB2312" w:cs="仿宋_GB2312"/>
                <w:kern w:val="0"/>
                <w:sz w:val="24"/>
                <w:szCs w:val="24"/>
                <w:lang w:val="en-US" w:eastAsia="zh-CN" w:bidi="ar-SA"/>
              </w:rPr>
            </w:pPr>
          </w:p>
        </w:tc>
      </w:tr>
      <w:tr w14:paraId="6BF01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77" w:type="dxa"/>
            <w:tcMar>
              <w:top w:w="57" w:type="dxa"/>
              <w:bottom w:w="57" w:type="dxa"/>
            </w:tcMar>
            <w:vAlign w:val="center"/>
          </w:tcPr>
          <w:p w14:paraId="3D282602">
            <w:pPr>
              <w:jc w:val="center"/>
              <w:rPr>
                <w:rFonts w:hint="eastAsia" w:ascii="仿宋_GB2312" w:hAnsi="仿宋_GB2312" w:eastAsia="仿宋_GB2312" w:cs="仿宋_GB2312"/>
                <w:b w:val="0"/>
                <w:bCs w:val="0"/>
                <w:snapToGrid w:val="0"/>
                <w:kern w:val="0"/>
                <w:sz w:val="24"/>
                <w:szCs w:val="24"/>
                <w:lang w:val="en-US" w:eastAsia="zh-CN"/>
              </w:rPr>
            </w:pPr>
            <w:r>
              <w:rPr>
                <w:rFonts w:hint="eastAsia" w:ascii="仿宋_GB2312" w:hAnsi="仿宋_GB2312" w:eastAsia="仿宋_GB2312" w:cs="仿宋_GB2312"/>
                <w:b w:val="0"/>
                <w:bCs w:val="0"/>
                <w:snapToGrid w:val="0"/>
                <w:kern w:val="0"/>
                <w:sz w:val="24"/>
                <w:szCs w:val="24"/>
                <w:lang w:val="en-US" w:eastAsia="zh-CN"/>
              </w:rPr>
              <w:t>4</w:t>
            </w:r>
          </w:p>
        </w:tc>
        <w:tc>
          <w:tcPr>
            <w:tcW w:w="2305" w:type="dxa"/>
            <w:tcMar>
              <w:top w:w="57" w:type="dxa"/>
              <w:bottom w:w="57" w:type="dxa"/>
            </w:tcMar>
            <w:vAlign w:val="center"/>
          </w:tcPr>
          <w:p w14:paraId="76C4A06A">
            <w:pPr>
              <w:rPr>
                <w:rFonts w:hint="eastAsia" w:ascii="仿宋_GB2312" w:hAnsi="仿宋_GB2312" w:eastAsia="仿宋_GB2312" w:cs="仿宋_GB2312"/>
                <w:b w:val="0"/>
                <w:bCs w:val="0"/>
                <w:snapToGrid w:val="0"/>
                <w:kern w:val="0"/>
                <w:sz w:val="24"/>
                <w:szCs w:val="24"/>
                <w:lang w:val="en-US" w:eastAsia="zh-CN"/>
              </w:rPr>
            </w:pPr>
            <w:r>
              <w:rPr>
                <w:rFonts w:hint="eastAsia" w:ascii="仿宋_GB2312" w:hAnsi="仿宋_GB2312" w:eastAsia="仿宋_GB2312" w:cs="仿宋_GB2312"/>
                <w:b/>
                <w:bCs/>
                <w:sz w:val="24"/>
                <w:szCs w:val="24"/>
              </w:rPr>
              <w:t>第</w:t>
            </w:r>
            <w:r>
              <w:rPr>
                <w:rFonts w:hint="eastAsia" w:ascii="仿宋_GB2312" w:hAnsi="仿宋_GB2312" w:eastAsia="仿宋_GB2312" w:cs="仿宋_GB2312"/>
                <w:b/>
                <w:bCs/>
                <w:sz w:val="24"/>
                <w:szCs w:val="24"/>
                <w:lang w:val="en-US" w:eastAsia="zh-CN"/>
              </w:rPr>
              <w:t>四</w:t>
            </w:r>
            <w:r>
              <w:rPr>
                <w:rFonts w:hint="eastAsia" w:ascii="仿宋_GB2312" w:hAnsi="仿宋_GB2312" w:eastAsia="仿宋_GB2312" w:cs="仿宋_GB2312"/>
                <w:b/>
                <w:bCs/>
                <w:sz w:val="24"/>
                <w:szCs w:val="24"/>
              </w:rPr>
              <w:t>章 核磁共振</w:t>
            </w:r>
            <w:r>
              <w:rPr>
                <w:rFonts w:hint="eastAsia" w:ascii="仿宋_GB2312" w:hAnsi="仿宋_GB2312" w:eastAsia="仿宋_GB2312" w:cs="仿宋_GB2312"/>
                <w:b/>
                <w:bCs/>
                <w:sz w:val="24"/>
                <w:szCs w:val="24"/>
                <w:lang w:val="en-US" w:eastAsia="zh-CN"/>
              </w:rPr>
              <w:t>波谱</w:t>
            </w:r>
          </w:p>
        </w:tc>
        <w:tc>
          <w:tcPr>
            <w:tcW w:w="2358" w:type="dxa"/>
            <w:tcMar>
              <w:top w:w="57" w:type="dxa"/>
              <w:bottom w:w="57" w:type="dxa"/>
            </w:tcMar>
            <w:vAlign w:val="center"/>
          </w:tcPr>
          <w:p w14:paraId="39E3C7F5">
            <w:pPr>
              <w:spacing w:line="360" w:lineRule="exact"/>
              <w:rPr>
                <w:rFonts w:hint="eastAsia" w:ascii="仿宋_GB2312" w:hAnsi="仿宋_GB2312" w:eastAsia="仿宋_GB2312" w:cs="仿宋_GB2312"/>
                <w:b w:val="0"/>
                <w:bCs w:val="0"/>
                <w:snapToGrid w:val="0"/>
                <w:kern w:val="0"/>
                <w:sz w:val="24"/>
                <w:szCs w:val="24"/>
              </w:rPr>
            </w:pPr>
            <w:r>
              <w:rPr>
                <w:rFonts w:hint="eastAsia" w:ascii="仿宋_GB2312" w:hAnsi="仿宋_GB2312" w:eastAsia="仿宋_GB2312" w:cs="仿宋_GB2312"/>
                <w:sz w:val="24"/>
                <w:szCs w:val="24"/>
                <w:lang w:val="en-US" w:eastAsia="zh-CN"/>
              </w:rPr>
              <w:t>了解核磁</w:t>
            </w:r>
            <w:r>
              <w:rPr>
                <w:rFonts w:hint="eastAsia" w:ascii="仿宋_GB2312" w:hAnsi="仿宋_GB2312" w:eastAsia="仿宋_GB2312" w:cs="仿宋_GB2312"/>
                <w:sz w:val="24"/>
                <w:szCs w:val="24"/>
              </w:rPr>
              <w:t>共振</w:t>
            </w:r>
            <w:r>
              <w:rPr>
                <w:rFonts w:hint="eastAsia" w:ascii="仿宋_GB2312" w:hAnsi="仿宋_GB2312" w:eastAsia="仿宋_GB2312" w:cs="仿宋_GB2312"/>
                <w:sz w:val="24"/>
                <w:szCs w:val="24"/>
                <w:lang w:val="en-US" w:eastAsia="zh-CN"/>
              </w:rPr>
              <w:t>的</w:t>
            </w:r>
            <w:r>
              <w:rPr>
                <w:rFonts w:hint="eastAsia" w:ascii="仿宋_GB2312" w:hAnsi="仿宋_GB2312" w:eastAsia="仿宋_GB2312" w:cs="仿宋_GB2312"/>
                <w:sz w:val="24"/>
                <w:szCs w:val="24"/>
              </w:rPr>
              <w:t>条件</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核磁共振与化学位移；化学位移的表示方法；影响化学位移的因素；</w:t>
            </w:r>
            <w:r>
              <w:rPr>
                <w:rFonts w:hint="eastAsia" w:ascii="仿宋_GB2312" w:hAnsi="仿宋_GB2312" w:eastAsia="仿宋_GB2312" w:cs="仿宋_GB2312"/>
                <w:sz w:val="24"/>
                <w:szCs w:val="24"/>
                <w:lang w:val="en-US" w:eastAsia="zh-CN"/>
              </w:rPr>
              <w:t>掌握</w:t>
            </w:r>
            <w:r>
              <w:rPr>
                <w:rFonts w:hint="eastAsia" w:ascii="仿宋_GB2312" w:hAnsi="仿宋_GB2312" w:eastAsia="仿宋_GB2312" w:cs="仿宋_GB2312"/>
                <w:sz w:val="24"/>
                <w:szCs w:val="24"/>
              </w:rPr>
              <w:t>自旋偶合与自旋裂分。</w:t>
            </w:r>
          </w:p>
        </w:tc>
        <w:tc>
          <w:tcPr>
            <w:tcW w:w="709" w:type="dxa"/>
            <w:tcMar>
              <w:top w:w="57" w:type="dxa"/>
              <w:bottom w:w="57" w:type="dxa"/>
            </w:tcMar>
            <w:vAlign w:val="center"/>
          </w:tcPr>
          <w:p w14:paraId="60EB6071">
            <w:pPr>
              <w:jc w:val="center"/>
              <w:rPr>
                <w:rFonts w:hint="eastAsia" w:ascii="仿宋_GB2312" w:hAnsi="仿宋_GB2312" w:eastAsia="仿宋_GB2312" w:cs="仿宋_GB2312"/>
                <w:b w:val="0"/>
                <w:bCs w:val="0"/>
                <w:snapToGrid w:val="0"/>
                <w:kern w:val="0"/>
                <w:sz w:val="24"/>
                <w:szCs w:val="24"/>
                <w:lang w:val="en-US" w:eastAsia="zh-CN"/>
              </w:rPr>
            </w:pPr>
            <w:r>
              <w:rPr>
                <w:rFonts w:hint="eastAsia" w:ascii="仿宋_GB2312" w:hAnsi="仿宋_GB2312" w:eastAsia="仿宋_GB2312" w:cs="仿宋_GB2312"/>
                <w:b w:val="0"/>
                <w:bCs w:val="0"/>
                <w:snapToGrid w:val="0"/>
                <w:kern w:val="0"/>
                <w:sz w:val="24"/>
                <w:szCs w:val="24"/>
                <w:lang w:val="en-US" w:eastAsia="zh-CN"/>
              </w:rPr>
              <w:t>2</w:t>
            </w:r>
          </w:p>
        </w:tc>
        <w:tc>
          <w:tcPr>
            <w:tcW w:w="975" w:type="dxa"/>
            <w:tcMar>
              <w:top w:w="57" w:type="dxa"/>
              <w:bottom w:w="57" w:type="dxa"/>
            </w:tcMar>
            <w:vAlign w:val="center"/>
          </w:tcPr>
          <w:p w14:paraId="34320B90">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讲授</w:t>
            </w:r>
          </w:p>
          <w:p w14:paraId="4B380B05">
            <w:pPr>
              <w:jc w:val="both"/>
              <w:rPr>
                <w:rFonts w:hint="default" w:ascii="仿宋_GB2312" w:hAnsi="仿宋_GB2312" w:eastAsia="仿宋_GB2312" w:cs="仿宋_GB2312"/>
                <w:b w:val="0"/>
                <w:bCs w:val="0"/>
                <w:snapToGrid w:val="0"/>
                <w:kern w:val="0"/>
                <w:sz w:val="24"/>
                <w:szCs w:val="24"/>
                <w:lang w:val="en-US" w:eastAsia="zh-CN"/>
              </w:rPr>
            </w:pPr>
            <w:r>
              <w:rPr>
                <w:rFonts w:hint="eastAsia" w:ascii="仿宋_GB2312" w:hAnsi="仿宋_GB2312" w:eastAsia="仿宋_GB2312" w:cs="仿宋_GB2312"/>
                <w:b w:val="0"/>
                <w:bCs w:val="0"/>
                <w:snapToGrid w:val="0"/>
                <w:kern w:val="0"/>
                <w:sz w:val="24"/>
                <w:szCs w:val="24"/>
                <w:lang w:val="en-US" w:eastAsia="zh-CN"/>
              </w:rPr>
              <w:t>演示</w:t>
            </w:r>
          </w:p>
        </w:tc>
        <w:tc>
          <w:tcPr>
            <w:tcW w:w="1581" w:type="dxa"/>
            <w:shd w:val="clear" w:color="auto" w:fill="auto"/>
            <w:tcMar>
              <w:top w:w="57" w:type="dxa"/>
              <w:bottom w:w="57" w:type="dxa"/>
            </w:tcMar>
            <w:vAlign w:val="center"/>
          </w:tcPr>
          <w:p w14:paraId="029F1E02">
            <w:pPr>
              <w:spacing w:line="360"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课程目标1</w:t>
            </w:r>
          </w:p>
          <w:p w14:paraId="5A7A4867">
            <w:pPr>
              <w:spacing w:line="360"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课程目标2</w:t>
            </w:r>
          </w:p>
          <w:p w14:paraId="5F68D441">
            <w:pPr>
              <w:spacing w:line="360" w:lineRule="auto"/>
              <w:jc w:val="left"/>
              <w:rPr>
                <w:rFonts w:hint="eastAsia" w:ascii="仿宋_GB2312" w:hAnsi="仿宋_GB2312" w:eastAsia="仿宋_GB2312" w:cs="仿宋_GB2312"/>
                <w:kern w:val="0"/>
                <w:sz w:val="24"/>
                <w:szCs w:val="24"/>
                <w:lang w:val="en-US" w:eastAsia="zh-CN" w:bidi="ar-SA"/>
              </w:rPr>
            </w:pPr>
          </w:p>
        </w:tc>
      </w:tr>
      <w:tr w14:paraId="3817F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240" w:type="dxa"/>
            <w:gridSpan w:val="3"/>
            <w:tcMar>
              <w:top w:w="57" w:type="dxa"/>
              <w:bottom w:w="57" w:type="dxa"/>
            </w:tcMar>
            <w:vAlign w:val="center"/>
          </w:tcPr>
          <w:p w14:paraId="70D0A563">
            <w:pPr>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合  计</w:t>
            </w:r>
          </w:p>
        </w:tc>
        <w:tc>
          <w:tcPr>
            <w:tcW w:w="709" w:type="dxa"/>
            <w:tcMar>
              <w:top w:w="57" w:type="dxa"/>
              <w:bottom w:w="57" w:type="dxa"/>
            </w:tcMar>
            <w:vAlign w:val="center"/>
          </w:tcPr>
          <w:p w14:paraId="71303BA4">
            <w:pPr>
              <w:jc w:val="center"/>
              <w:rPr>
                <w:rFonts w:hint="default" w:ascii="黑体" w:hAnsi="黑体" w:eastAsia="黑体" w:cs="黑体"/>
                <w:snapToGrid w:val="0"/>
                <w:kern w:val="0"/>
                <w:sz w:val="24"/>
                <w:szCs w:val="24"/>
                <w:lang w:val="en-US" w:eastAsia="zh-CN"/>
              </w:rPr>
            </w:pPr>
            <w:r>
              <w:rPr>
                <w:rFonts w:hint="eastAsia" w:ascii="黑体" w:hAnsi="黑体" w:eastAsia="黑体" w:cs="黑体"/>
                <w:snapToGrid w:val="0"/>
                <w:kern w:val="0"/>
                <w:sz w:val="24"/>
                <w:szCs w:val="24"/>
                <w:lang w:val="en-US" w:eastAsia="zh-CN"/>
              </w:rPr>
              <w:t>8</w:t>
            </w:r>
          </w:p>
        </w:tc>
        <w:tc>
          <w:tcPr>
            <w:tcW w:w="975" w:type="dxa"/>
            <w:tcMar>
              <w:top w:w="57" w:type="dxa"/>
              <w:bottom w:w="57" w:type="dxa"/>
            </w:tcMar>
            <w:vAlign w:val="center"/>
          </w:tcPr>
          <w:p w14:paraId="0B10A14C">
            <w:pPr>
              <w:jc w:val="center"/>
              <w:rPr>
                <w:rFonts w:hint="eastAsia" w:ascii="黑体" w:hAnsi="黑体" w:eastAsia="黑体" w:cs="黑体"/>
                <w:snapToGrid w:val="0"/>
                <w:kern w:val="0"/>
                <w:sz w:val="24"/>
                <w:szCs w:val="24"/>
              </w:rPr>
            </w:pPr>
          </w:p>
        </w:tc>
        <w:tc>
          <w:tcPr>
            <w:tcW w:w="1581" w:type="dxa"/>
            <w:vAlign w:val="center"/>
          </w:tcPr>
          <w:p w14:paraId="74079536">
            <w:pPr>
              <w:jc w:val="center"/>
              <w:rPr>
                <w:rFonts w:hint="eastAsia" w:ascii="黑体" w:hAnsi="黑体" w:eastAsia="黑体" w:cs="黑体"/>
                <w:snapToGrid w:val="0"/>
                <w:kern w:val="0"/>
                <w:sz w:val="24"/>
                <w:szCs w:val="24"/>
              </w:rPr>
            </w:pPr>
          </w:p>
        </w:tc>
      </w:tr>
    </w:tbl>
    <w:p w14:paraId="2C37327C">
      <w:pPr>
        <w:spacing w:line="360" w:lineRule="auto"/>
        <w:ind w:firstLine="482" w:firstLineChars="200"/>
        <w:rPr>
          <w:rFonts w:hint="eastAsia" w:ascii="黑体" w:hAnsi="黑体" w:eastAsia="黑体" w:cs="黑体"/>
          <w:b/>
          <w:sz w:val="24"/>
        </w:rPr>
      </w:pPr>
      <w:r>
        <w:rPr>
          <w:rFonts w:hint="eastAsia" w:ascii="黑体" w:hAnsi="黑体" w:eastAsia="黑体" w:cs="黑体"/>
          <w:b/>
          <w:sz w:val="24"/>
        </w:rPr>
        <w:t>七、实验内容、基本要求与学时分配</w:t>
      </w:r>
    </w:p>
    <w:tbl>
      <w:tblPr>
        <w:tblStyle w:val="7"/>
        <w:tblW w:w="10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606"/>
        <w:gridCol w:w="2275"/>
        <w:gridCol w:w="2359"/>
        <w:gridCol w:w="709"/>
        <w:gridCol w:w="709"/>
        <w:gridCol w:w="716"/>
        <w:gridCol w:w="770"/>
        <w:gridCol w:w="2070"/>
      </w:tblGrid>
      <w:tr w14:paraId="7AD82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tblHeader/>
          <w:jc w:val="center"/>
        </w:trPr>
        <w:tc>
          <w:tcPr>
            <w:tcW w:w="606" w:type="dxa"/>
            <w:tcMar>
              <w:top w:w="57" w:type="dxa"/>
              <w:bottom w:w="57" w:type="dxa"/>
            </w:tcMar>
            <w:vAlign w:val="center"/>
          </w:tcPr>
          <w:p w14:paraId="791AC49E">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序号</w:t>
            </w:r>
          </w:p>
        </w:tc>
        <w:tc>
          <w:tcPr>
            <w:tcW w:w="2275" w:type="dxa"/>
            <w:tcMar>
              <w:top w:w="57" w:type="dxa"/>
              <w:bottom w:w="57" w:type="dxa"/>
            </w:tcMar>
            <w:vAlign w:val="center"/>
          </w:tcPr>
          <w:p w14:paraId="376281AF">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实验项目名称</w:t>
            </w:r>
          </w:p>
        </w:tc>
        <w:tc>
          <w:tcPr>
            <w:tcW w:w="2359" w:type="dxa"/>
            <w:tcMar>
              <w:top w:w="57" w:type="dxa"/>
              <w:bottom w:w="57" w:type="dxa"/>
            </w:tcMar>
            <w:vAlign w:val="center"/>
          </w:tcPr>
          <w:p w14:paraId="2A98FE33">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实验内容与要求</w:t>
            </w:r>
          </w:p>
        </w:tc>
        <w:tc>
          <w:tcPr>
            <w:tcW w:w="709" w:type="dxa"/>
            <w:tcMar>
              <w:top w:w="57" w:type="dxa"/>
              <w:bottom w:w="57" w:type="dxa"/>
            </w:tcMar>
            <w:vAlign w:val="center"/>
          </w:tcPr>
          <w:p w14:paraId="06A74AEC">
            <w:pPr>
              <w:snapToGrid w:val="0"/>
              <w:jc w:val="center"/>
              <w:rPr>
                <w:rFonts w:hint="eastAsia" w:ascii="黑体" w:hAnsi="黑体" w:eastAsia="黑体" w:cs="黑体"/>
                <w:b/>
                <w:snapToGrid w:val="0"/>
                <w:kern w:val="0"/>
                <w:sz w:val="24"/>
                <w:szCs w:val="24"/>
                <w:lang w:val="en-US" w:eastAsia="zh-CN"/>
              </w:rPr>
            </w:pPr>
            <w:r>
              <w:rPr>
                <w:rFonts w:hint="eastAsia" w:ascii="黑体" w:hAnsi="黑体" w:eastAsia="黑体" w:cs="黑体"/>
                <w:b/>
                <w:snapToGrid w:val="0"/>
                <w:kern w:val="0"/>
                <w:sz w:val="24"/>
                <w:szCs w:val="24"/>
              </w:rPr>
              <w:t>学时</w:t>
            </w:r>
          </w:p>
        </w:tc>
        <w:tc>
          <w:tcPr>
            <w:tcW w:w="709" w:type="dxa"/>
            <w:tcMar>
              <w:top w:w="57" w:type="dxa"/>
              <w:bottom w:w="57" w:type="dxa"/>
            </w:tcMar>
            <w:vAlign w:val="center"/>
          </w:tcPr>
          <w:p w14:paraId="37B29C87">
            <w:pPr>
              <w:snapToGrid w:val="0"/>
              <w:jc w:val="center"/>
              <w:rPr>
                <w:rFonts w:hint="eastAsia" w:ascii="黑体" w:hAnsi="黑体" w:eastAsia="黑体" w:cs="黑体"/>
                <w:b/>
                <w:snapToGrid w:val="0"/>
                <w:kern w:val="0"/>
                <w:sz w:val="24"/>
                <w:szCs w:val="24"/>
                <w:lang w:val="en-US" w:eastAsia="zh-CN"/>
              </w:rPr>
            </w:pPr>
            <w:r>
              <w:rPr>
                <w:rFonts w:hint="eastAsia" w:ascii="黑体" w:hAnsi="黑体" w:eastAsia="黑体" w:cs="黑体"/>
                <w:b/>
                <w:snapToGrid w:val="0"/>
                <w:kern w:val="0"/>
                <w:sz w:val="24"/>
                <w:szCs w:val="24"/>
                <w:lang w:val="en-US" w:eastAsia="zh-CN"/>
              </w:rPr>
              <w:t>实验</w:t>
            </w:r>
            <w:r>
              <w:rPr>
                <w:rFonts w:hint="eastAsia" w:ascii="黑体" w:hAnsi="黑体" w:eastAsia="黑体" w:cs="黑体"/>
                <w:b/>
                <w:snapToGrid w:val="0"/>
                <w:kern w:val="0"/>
                <w:sz w:val="24"/>
                <w:szCs w:val="24"/>
              </w:rPr>
              <w:t>类型</w:t>
            </w:r>
          </w:p>
        </w:tc>
        <w:tc>
          <w:tcPr>
            <w:tcW w:w="716" w:type="dxa"/>
            <w:tcMar>
              <w:top w:w="57" w:type="dxa"/>
              <w:bottom w:w="57" w:type="dxa"/>
            </w:tcMar>
            <w:vAlign w:val="center"/>
          </w:tcPr>
          <w:p w14:paraId="6382017E">
            <w:pPr>
              <w:snapToGrid w:val="0"/>
              <w:jc w:val="center"/>
              <w:rPr>
                <w:rFonts w:hint="default" w:ascii="黑体" w:hAnsi="黑体" w:eastAsia="黑体" w:cs="黑体"/>
                <w:b/>
                <w:snapToGrid w:val="0"/>
                <w:kern w:val="0"/>
                <w:sz w:val="24"/>
                <w:szCs w:val="24"/>
                <w:lang w:val="en-US" w:eastAsia="zh-CN"/>
              </w:rPr>
            </w:pPr>
            <w:r>
              <w:rPr>
                <w:rFonts w:hint="eastAsia" w:ascii="黑体" w:hAnsi="黑体" w:eastAsia="黑体" w:cs="黑体"/>
                <w:b/>
                <w:snapToGrid w:val="0"/>
                <w:kern w:val="0"/>
                <w:sz w:val="24"/>
                <w:szCs w:val="24"/>
                <w:lang w:val="en-US" w:eastAsia="zh-CN"/>
              </w:rPr>
              <w:t>实验属性</w:t>
            </w:r>
          </w:p>
        </w:tc>
        <w:tc>
          <w:tcPr>
            <w:tcW w:w="770" w:type="dxa"/>
            <w:tcMar>
              <w:top w:w="57" w:type="dxa"/>
              <w:bottom w:w="57" w:type="dxa"/>
            </w:tcMar>
            <w:vAlign w:val="center"/>
          </w:tcPr>
          <w:p w14:paraId="18669A7E">
            <w:pPr>
              <w:snapToGrid w:val="0"/>
              <w:jc w:val="center"/>
              <w:rPr>
                <w:rFonts w:hint="eastAsia" w:ascii="黑体" w:hAnsi="黑体" w:eastAsia="黑体" w:cs="黑体"/>
                <w:b/>
                <w:snapToGrid w:val="0"/>
                <w:kern w:val="0"/>
                <w:sz w:val="24"/>
                <w:szCs w:val="24"/>
                <w:lang w:val="en-US" w:eastAsia="zh-CN"/>
              </w:rPr>
            </w:pPr>
            <w:r>
              <w:rPr>
                <w:rFonts w:hint="eastAsia" w:ascii="黑体" w:hAnsi="黑体" w:eastAsia="黑体" w:cs="黑体"/>
                <w:b/>
                <w:snapToGrid w:val="0"/>
                <w:kern w:val="0"/>
                <w:sz w:val="24"/>
                <w:szCs w:val="24"/>
                <w:lang w:val="en-US" w:eastAsia="zh-CN"/>
              </w:rPr>
              <w:t>每组人数</w:t>
            </w:r>
          </w:p>
        </w:tc>
        <w:tc>
          <w:tcPr>
            <w:tcW w:w="2070" w:type="dxa"/>
            <w:tcMar>
              <w:top w:w="57" w:type="dxa"/>
              <w:bottom w:w="57" w:type="dxa"/>
            </w:tcMar>
            <w:vAlign w:val="center"/>
          </w:tcPr>
          <w:p w14:paraId="4FE418CE">
            <w:pPr>
              <w:snapToGrid w:val="0"/>
              <w:jc w:val="center"/>
              <w:rPr>
                <w:rFonts w:hint="eastAsia" w:ascii="黑体" w:hAnsi="黑体" w:eastAsia="黑体" w:cs="黑体"/>
                <w:b/>
                <w:snapToGrid w:val="0"/>
                <w:kern w:val="0"/>
                <w:sz w:val="24"/>
                <w:szCs w:val="24"/>
              </w:rPr>
            </w:pPr>
            <w:r>
              <w:rPr>
                <w:rFonts w:hint="eastAsia" w:ascii="黑体" w:hAnsi="黑体" w:eastAsia="黑体" w:cs="黑体"/>
                <w:b/>
                <w:snapToGrid w:val="0"/>
                <w:kern w:val="0"/>
                <w:sz w:val="24"/>
                <w:szCs w:val="24"/>
              </w:rPr>
              <w:t>对应课程目标</w:t>
            </w:r>
          </w:p>
        </w:tc>
      </w:tr>
      <w:tr w14:paraId="78E74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606" w:type="dxa"/>
            <w:tcMar>
              <w:top w:w="57" w:type="dxa"/>
              <w:bottom w:w="57" w:type="dxa"/>
            </w:tcMar>
            <w:vAlign w:val="center"/>
          </w:tcPr>
          <w:p w14:paraId="071075E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p>
        </w:tc>
        <w:tc>
          <w:tcPr>
            <w:tcW w:w="2275" w:type="dxa"/>
            <w:tcMar>
              <w:top w:w="57" w:type="dxa"/>
              <w:bottom w:w="57" w:type="dxa"/>
            </w:tcMar>
            <w:vAlign w:val="center"/>
          </w:tcPr>
          <w:p w14:paraId="6D28D23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分析仪器使用演示实验</w:t>
            </w:r>
          </w:p>
        </w:tc>
        <w:tc>
          <w:tcPr>
            <w:tcW w:w="2359" w:type="dxa"/>
            <w:tcMar>
              <w:top w:w="57" w:type="dxa"/>
              <w:bottom w:w="57" w:type="dxa"/>
            </w:tcMar>
            <w:vAlign w:val="center"/>
          </w:tcPr>
          <w:p w14:paraId="732035D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通过气质联用仪、红外分光光度计、紫外分光光度计等仪器的演示实验，使学生掌握所学的使用方法和内部构造，以及所学仪器分析在轻化工程中的应用。</w:t>
            </w:r>
          </w:p>
        </w:tc>
        <w:tc>
          <w:tcPr>
            <w:tcW w:w="709" w:type="dxa"/>
            <w:tcMar>
              <w:top w:w="57" w:type="dxa"/>
              <w:bottom w:w="57" w:type="dxa"/>
            </w:tcMar>
            <w:vAlign w:val="center"/>
          </w:tcPr>
          <w:p w14:paraId="08C0DD5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w:t>
            </w:r>
          </w:p>
        </w:tc>
        <w:tc>
          <w:tcPr>
            <w:tcW w:w="709" w:type="dxa"/>
            <w:tcMar>
              <w:top w:w="57" w:type="dxa"/>
              <w:bottom w:w="57" w:type="dxa"/>
            </w:tcMar>
            <w:vAlign w:val="center"/>
          </w:tcPr>
          <w:p w14:paraId="12F0B10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演示性</w:t>
            </w:r>
          </w:p>
        </w:tc>
        <w:tc>
          <w:tcPr>
            <w:tcW w:w="716" w:type="dxa"/>
            <w:tcMar>
              <w:top w:w="57" w:type="dxa"/>
              <w:bottom w:w="57" w:type="dxa"/>
            </w:tcMar>
            <w:vAlign w:val="center"/>
          </w:tcPr>
          <w:p w14:paraId="4FE0CA5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专业类</w:t>
            </w:r>
          </w:p>
        </w:tc>
        <w:tc>
          <w:tcPr>
            <w:tcW w:w="770" w:type="dxa"/>
            <w:tcMar>
              <w:top w:w="57" w:type="dxa"/>
              <w:bottom w:w="57" w:type="dxa"/>
            </w:tcMar>
            <w:vAlign w:val="center"/>
          </w:tcPr>
          <w:p w14:paraId="764290E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3-4</w:t>
            </w:r>
          </w:p>
        </w:tc>
        <w:tc>
          <w:tcPr>
            <w:tcW w:w="2070" w:type="dxa"/>
            <w:tcMar>
              <w:top w:w="57" w:type="dxa"/>
              <w:bottom w:w="57" w:type="dxa"/>
            </w:tcMar>
            <w:vAlign w:val="center"/>
          </w:tcPr>
          <w:p w14:paraId="2DB1ABA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课程目标1</w:t>
            </w:r>
          </w:p>
          <w:p w14:paraId="54102CD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课程目标2</w:t>
            </w:r>
          </w:p>
        </w:tc>
      </w:tr>
      <w:tr w14:paraId="7C51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606" w:type="dxa"/>
            <w:tcMar>
              <w:top w:w="57" w:type="dxa"/>
              <w:bottom w:w="57" w:type="dxa"/>
            </w:tcMar>
            <w:vAlign w:val="center"/>
          </w:tcPr>
          <w:p w14:paraId="5D2904E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p>
        </w:tc>
        <w:tc>
          <w:tcPr>
            <w:tcW w:w="2275" w:type="dxa"/>
            <w:shd w:val="clear" w:color="auto" w:fill="auto"/>
            <w:tcMar>
              <w:top w:w="57" w:type="dxa"/>
              <w:bottom w:w="57" w:type="dxa"/>
            </w:tcMar>
            <w:vAlign w:val="center"/>
          </w:tcPr>
          <w:p w14:paraId="4681C64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采用气相色谱-质谱法鉴定纯物质及混合有机物；</w:t>
            </w:r>
          </w:p>
        </w:tc>
        <w:tc>
          <w:tcPr>
            <w:tcW w:w="2359" w:type="dxa"/>
            <w:shd w:val="clear" w:color="auto" w:fill="auto"/>
            <w:tcMar>
              <w:top w:w="57" w:type="dxa"/>
              <w:bottom w:w="57" w:type="dxa"/>
            </w:tcMar>
            <w:vAlign w:val="center"/>
          </w:tcPr>
          <w:p w14:paraId="6C9248B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利用气相色谱-质谱联用仪测定纯物质的浓度和混合有机物的种类，掌握气相色谱-质谱联用仪的使用和分析方法</w:t>
            </w:r>
          </w:p>
        </w:tc>
        <w:tc>
          <w:tcPr>
            <w:tcW w:w="709" w:type="dxa"/>
            <w:shd w:val="clear" w:color="auto" w:fill="auto"/>
            <w:tcMar>
              <w:top w:w="57" w:type="dxa"/>
              <w:bottom w:w="57" w:type="dxa"/>
            </w:tcMar>
            <w:vAlign w:val="center"/>
          </w:tcPr>
          <w:p w14:paraId="48AD0D1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12</w:t>
            </w:r>
          </w:p>
        </w:tc>
        <w:tc>
          <w:tcPr>
            <w:tcW w:w="709" w:type="dxa"/>
            <w:shd w:val="clear" w:color="auto" w:fill="auto"/>
            <w:tcMar>
              <w:top w:w="57" w:type="dxa"/>
              <w:bottom w:w="57" w:type="dxa"/>
            </w:tcMar>
            <w:vAlign w:val="center"/>
          </w:tcPr>
          <w:p w14:paraId="5EAC022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综合性</w:t>
            </w:r>
          </w:p>
        </w:tc>
        <w:tc>
          <w:tcPr>
            <w:tcW w:w="716" w:type="dxa"/>
            <w:shd w:val="clear" w:color="auto" w:fill="auto"/>
            <w:tcMar>
              <w:top w:w="57" w:type="dxa"/>
              <w:bottom w:w="57" w:type="dxa"/>
            </w:tcMar>
            <w:vAlign w:val="center"/>
          </w:tcPr>
          <w:p w14:paraId="724F7CF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专业类</w:t>
            </w:r>
          </w:p>
        </w:tc>
        <w:tc>
          <w:tcPr>
            <w:tcW w:w="770" w:type="dxa"/>
            <w:shd w:val="clear" w:color="auto" w:fill="auto"/>
            <w:tcMar>
              <w:top w:w="57" w:type="dxa"/>
              <w:bottom w:w="57" w:type="dxa"/>
            </w:tcMar>
            <w:vAlign w:val="center"/>
          </w:tcPr>
          <w:p w14:paraId="39CEEF0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3-4</w:t>
            </w:r>
          </w:p>
        </w:tc>
        <w:tc>
          <w:tcPr>
            <w:tcW w:w="2070" w:type="dxa"/>
            <w:shd w:val="clear" w:color="auto" w:fill="auto"/>
            <w:tcMar>
              <w:top w:w="57" w:type="dxa"/>
              <w:bottom w:w="57" w:type="dxa"/>
            </w:tcMar>
            <w:vAlign w:val="center"/>
          </w:tcPr>
          <w:p w14:paraId="65B8F9B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课程目标1</w:t>
            </w:r>
          </w:p>
          <w:p w14:paraId="5CA6DFA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课程目标2</w:t>
            </w:r>
          </w:p>
          <w:p w14:paraId="6328DC7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color w:val="auto"/>
                <w:kern w:val="2"/>
                <w:sz w:val="24"/>
                <w:szCs w:val="24"/>
                <w:lang w:val="en-US" w:eastAsia="zh-CN" w:bidi="ar-SA"/>
              </w:rPr>
            </w:pPr>
          </w:p>
        </w:tc>
      </w:tr>
      <w:tr w14:paraId="1ED72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606" w:type="dxa"/>
            <w:tcMar>
              <w:top w:w="57" w:type="dxa"/>
              <w:bottom w:w="57" w:type="dxa"/>
            </w:tcMar>
            <w:vAlign w:val="center"/>
          </w:tcPr>
          <w:p w14:paraId="51B134B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p>
        </w:tc>
        <w:tc>
          <w:tcPr>
            <w:tcW w:w="2275" w:type="dxa"/>
            <w:shd w:val="clear" w:color="auto" w:fill="auto"/>
            <w:tcMar>
              <w:top w:w="57" w:type="dxa"/>
              <w:bottom w:w="57" w:type="dxa"/>
            </w:tcMar>
            <w:vAlign w:val="center"/>
          </w:tcPr>
          <w:p w14:paraId="115324B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采用紫外分光光度计对预水解液中的木质素含量进行测量；</w:t>
            </w:r>
          </w:p>
        </w:tc>
        <w:tc>
          <w:tcPr>
            <w:tcW w:w="2359" w:type="dxa"/>
            <w:shd w:val="clear" w:color="auto" w:fill="auto"/>
            <w:tcMar>
              <w:top w:w="57" w:type="dxa"/>
              <w:bottom w:w="57" w:type="dxa"/>
            </w:tcMar>
            <w:vAlign w:val="center"/>
          </w:tcPr>
          <w:p w14:paraId="5E3F05C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利用紫外-可见光光谱仪测定水解液中木质素含量，掌握紫外光谱仪的使用和分析方法，利用朗伯比尔定律定量测定的方法。</w:t>
            </w:r>
          </w:p>
        </w:tc>
        <w:tc>
          <w:tcPr>
            <w:tcW w:w="709" w:type="dxa"/>
            <w:shd w:val="clear" w:color="auto" w:fill="auto"/>
            <w:tcMar>
              <w:top w:w="57" w:type="dxa"/>
              <w:bottom w:w="57" w:type="dxa"/>
            </w:tcMar>
            <w:vAlign w:val="center"/>
          </w:tcPr>
          <w:p w14:paraId="088F52E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12</w:t>
            </w:r>
          </w:p>
        </w:tc>
        <w:tc>
          <w:tcPr>
            <w:tcW w:w="709" w:type="dxa"/>
            <w:shd w:val="clear" w:color="auto" w:fill="auto"/>
            <w:tcMar>
              <w:top w:w="57" w:type="dxa"/>
              <w:bottom w:w="57" w:type="dxa"/>
            </w:tcMar>
            <w:vAlign w:val="center"/>
          </w:tcPr>
          <w:p w14:paraId="008DE81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综合性</w:t>
            </w:r>
          </w:p>
        </w:tc>
        <w:tc>
          <w:tcPr>
            <w:tcW w:w="716" w:type="dxa"/>
            <w:shd w:val="clear" w:color="auto" w:fill="auto"/>
            <w:tcMar>
              <w:top w:w="57" w:type="dxa"/>
              <w:bottom w:w="57" w:type="dxa"/>
            </w:tcMar>
            <w:vAlign w:val="center"/>
          </w:tcPr>
          <w:p w14:paraId="5C75378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专业类</w:t>
            </w:r>
          </w:p>
        </w:tc>
        <w:tc>
          <w:tcPr>
            <w:tcW w:w="770" w:type="dxa"/>
            <w:shd w:val="clear" w:color="auto" w:fill="auto"/>
            <w:tcMar>
              <w:top w:w="57" w:type="dxa"/>
              <w:bottom w:w="57" w:type="dxa"/>
            </w:tcMar>
            <w:vAlign w:val="center"/>
          </w:tcPr>
          <w:p w14:paraId="3E728BB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3-4</w:t>
            </w:r>
          </w:p>
        </w:tc>
        <w:tc>
          <w:tcPr>
            <w:tcW w:w="2070" w:type="dxa"/>
            <w:shd w:val="clear" w:color="auto" w:fill="auto"/>
            <w:tcMar>
              <w:top w:w="57" w:type="dxa"/>
              <w:bottom w:w="57" w:type="dxa"/>
            </w:tcMar>
            <w:vAlign w:val="center"/>
          </w:tcPr>
          <w:p w14:paraId="6BB161D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课程目标1</w:t>
            </w:r>
          </w:p>
          <w:p w14:paraId="1566D04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课程目标2</w:t>
            </w:r>
          </w:p>
          <w:p w14:paraId="645D8FA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color w:val="auto"/>
                <w:kern w:val="2"/>
                <w:sz w:val="24"/>
                <w:szCs w:val="24"/>
                <w:lang w:val="en-US" w:eastAsia="zh-CN" w:bidi="ar-SA"/>
              </w:rPr>
            </w:pPr>
          </w:p>
        </w:tc>
      </w:tr>
      <w:tr w14:paraId="04B1E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5240" w:type="dxa"/>
            <w:gridSpan w:val="3"/>
            <w:tcMar>
              <w:top w:w="57" w:type="dxa"/>
              <w:bottom w:w="57" w:type="dxa"/>
            </w:tcMar>
            <w:vAlign w:val="center"/>
          </w:tcPr>
          <w:p w14:paraId="64F2ED62">
            <w:pPr>
              <w:jc w:val="center"/>
              <w:rPr>
                <w:rFonts w:asciiTheme="majorEastAsia" w:hAnsiTheme="majorEastAsia" w:eastAsiaTheme="majorEastAsia"/>
                <w:b/>
                <w:snapToGrid w:val="0"/>
                <w:kern w:val="0"/>
                <w:szCs w:val="21"/>
              </w:rPr>
            </w:pPr>
            <w:r>
              <w:rPr>
                <w:rFonts w:hint="eastAsia" w:asciiTheme="majorEastAsia" w:hAnsiTheme="majorEastAsia" w:eastAsiaTheme="majorEastAsia"/>
                <w:b/>
                <w:snapToGrid w:val="0"/>
                <w:kern w:val="0"/>
                <w:szCs w:val="21"/>
              </w:rPr>
              <w:t xml:space="preserve">合 </w:t>
            </w:r>
            <w:r>
              <w:rPr>
                <w:rFonts w:asciiTheme="majorEastAsia" w:hAnsiTheme="majorEastAsia" w:eastAsiaTheme="majorEastAsia"/>
                <w:b/>
                <w:snapToGrid w:val="0"/>
                <w:kern w:val="0"/>
                <w:szCs w:val="21"/>
              </w:rPr>
              <w:t xml:space="preserve"> </w:t>
            </w:r>
            <w:r>
              <w:rPr>
                <w:rFonts w:hint="eastAsia" w:asciiTheme="majorEastAsia" w:hAnsiTheme="majorEastAsia" w:eastAsiaTheme="majorEastAsia"/>
                <w:b/>
                <w:snapToGrid w:val="0"/>
                <w:kern w:val="0"/>
                <w:szCs w:val="21"/>
              </w:rPr>
              <w:t>计</w:t>
            </w:r>
          </w:p>
        </w:tc>
        <w:tc>
          <w:tcPr>
            <w:tcW w:w="709" w:type="dxa"/>
            <w:tcMar>
              <w:top w:w="57" w:type="dxa"/>
              <w:bottom w:w="57" w:type="dxa"/>
            </w:tcMar>
            <w:vAlign w:val="center"/>
          </w:tcPr>
          <w:p w14:paraId="2715D845">
            <w:pPr>
              <w:jc w:val="center"/>
              <w:rPr>
                <w:rFonts w:hint="default" w:asciiTheme="majorEastAsia" w:hAnsiTheme="majorEastAsia" w:eastAsiaTheme="majorEastAsia"/>
                <w:snapToGrid w:val="0"/>
                <w:kern w:val="0"/>
                <w:szCs w:val="21"/>
                <w:lang w:val="en-US" w:eastAsia="zh-CN"/>
              </w:rPr>
            </w:pPr>
            <w:r>
              <w:rPr>
                <w:rFonts w:hint="eastAsia" w:asciiTheme="majorEastAsia" w:hAnsiTheme="majorEastAsia" w:eastAsiaTheme="majorEastAsia"/>
                <w:snapToGrid w:val="0"/>
                <w:kern w:val="0"/>
                <w:szCs w:val="21"/>
                <w:lang w:val="en-US" w:eastAsia="zh-CN"/>
              </w:rPr>
              <w:t>32</w:t>
            </w:r>
          </w:p>
        </w:tc>
        <w:tc>
          <w:tcPr>
            <w:tcW w:w="4265" w:type="dxa"/>
            <w:gridSpan w:val="4"/>
            <w:tcMar>
              <w:top w:w="57" w:type="dxa"/>
              <w:bottom w:w="57" w:type="dxa"/>
            </w:tcMar>
            <w:vAlign w:val="center"/>
          </w:tcPr>
          <w:p w14:paraId="73DC48FE">
            <w:pPr>
              <w:jc w:val="center"/>
              <w:rPr>
                <w:rFonts w:hint="default" w:asciiTheme="majorEastAsia" w:hAnsiTheme="majorEastAsia" w:eastAsiaTheme="majorEastAsia"/>
                <w:snapToGrid w:val="0"/>
                <w:kern w:val="0"/>
                <w:szCs w:val="21"/>
                <w:lang w:val="en-US" w:eastAsia="zh-CN"/>
              </w:rPr>
            </w:pPr>
            <w:r>
              <w:rPr>
                <w:rFonts w:hint="eastAsia" w:asciiTheme="majorEastAsia" w:hAnsiTheme="majorEastAsia" w:eastAsiaTheme="majorEastAsia"/>
                <w:b/>
                <w:bCs/>
                <w:snapToGrid w:val="0"/>
                <w:color w:val="000000" w:themeColor="text1"/>
                <w:kern w:val="0"/>
                <w:szCs w:val="21"/>
                <w:lang w:val="en-US" w:eastAsia="zh-CN"/>
                <w14:textFill>
                  <w14:solidFill>
                    <w14:schemeClr w14:val="tx1"/>
                  </w14:solidFill>
                </w14:textFill>
              </w:rPr>
              <w:t>/</w:t>
            </w:r>
          </w:p>
        </w:tc>
      </w:tr>
    </w:tbl>
    <w:p w14:paraId="3D4319EF">
      <w:pPr>
        <w:spacing w:line="360" w:lineRule="auto"/>
        <w:ind w:firstLine="420" w:firstLineChars="200"/>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注：实验要求指必做或选做；实验类型包括“演示性”、“验证性”、“综合性”、“设计性”、“研究创新性”五类；实验属性指所开实验为基础类、专业基础类或专业类；基础类实验原则上1人一组，专业基础类实验原则上不超过2人一组，专业类实验原则上不超过4人一组；单个实验项目可对应单个或多个课程目标。</w:t>
      </w:r>
    </w:p>
    <w:p w14:paraId="1BA1A733">
      <w:pPr>
        <w:spacing w:line="360" w:lineRule="auto"/>
        <w:ind w:firstLine="482" w:firstLineChars="200"/>
        <w:rPr>
          <w:rFonts w:ascii="黑体" w:hAnsi="黑体" w:eastAsia="黑体" w:cs="黑体"/>
          <w:b/>
          <w:color w:val="auto"/>
          <w:sz w:val="24"/>
        </w:rPr>
      </w:pPr>
      <w:r>
        <w:rPr>
          <w:rFonts w:hint="eastAsia" w:ascii="黑体" w:hAnsi="黑体" w:eastAsia="黑体" w:cs="黑体"/>
          <w:b/>
          <w:color w:val="auto"/>
          <w:sz w:val="24"/>
          <w:lang w:val="en-US" w:eastAsia="zh-CN"/>
        </w:rPr>
        <w:t>八、</w:t>
      </w:r>
      <w:r>
        <w:rPr>
          <w:rFonts w:hint="eastAsia" w:ascii="黑体" w:hAnsi="黑体" w:eastAsia="黑体" w:cs="黑体"/>
          <w:b/>
          <w:color w:val="auto"/>
          <w:sz w:val="24"/>
        </w:rPr>
        <w:t>实验成果呈现要求</w:t>
      </w:r>
    </w:p>
    <w:p w14:paraId="0B08C494">
      <w:pPr>
        <w:spacing w:line="360" w:lineRule="auto"/>
        <w:ind w:firstLine="480" w:firstLineChars="200"/>
        <w:jc w:val="left"/>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实验成果以实验预习报告和实验报告的形式呈现，预习报告和实验报告中应该包含实验目的、实验原理、实验器材和试剂、实验步骤、实验现象记录或数据记录表格、关键点及解决方法、注意事项、实验安全注意事项、</w:t>
      </w:r>
      <w:r>
        <w:rPr>
          <w:rFonts w:hint="eastAsia" w:ascii="仿宋_GB2312" w:hAnsi="仿宋_GB2312" w:eastAsia="仿宋_GB2312" w:cs="仿宋_GB2312"/>
          <w:color w:val="auto"/>
          <w:sz w:val="24"/>
        </w:rPr>
        <w:t>结果分析</w:t>
      </w:r>
      <w:r>
        <w:rPr>
          <w:rFonts w:hint="eastAsia" w:ascii="仿宋_GB2312" w:hAnsi="仿宋_GB2312" w:eastAsia="仿宋_GB2312" w:cs="仿宋_GB2312"/>
          <w:color w:val="auto"/>
          <w:sz w:val="24"/>
          <w:lang w:val="en-US" w:eastAsia="zh-CN"/>
        </w:rPr>
        <w:t>等要点。</w:t>
      </w:r>
    </w:p>
    <w:p w14:paraId="700890A4">
      <w:pPr>
        <w:spacing w:line="360" w:lineRule="auto"/>
        <w:ind w:firstLine="480" w:firstLineChars="200"/>
        <w:jc w:val="left"/>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实验预习报告和实验报告应及时撰写，并交给指导教师批改。报告应真实反映实验过程和结果，避免虚假内容和抄袭。报告中的数据应准确无误，记录应清晰明了。实验报告中的分析和讨论应具有科学性和逻辑性，避免主观臆断和片面性。</w:t>
      </w:r>
    </w:p>
    <w:p w14:paraId="0DCB06B3">
      <w:pPr>
        <w:spacing w:line="360" w:lineRule="auto"/>
        <w:ind w:firstLine="482" w:firstLineChars="200"/>
        <w:rPr>
          <w:rFonts w:hint="eastAsia" w:ascii="黑体" w:hAnsi="黑体" w:eastAsia="黑体" w:cs="黑体"/>
          <w:b w:val="0"/>
          <w:bCs/>
          <w:color w:val="FF0000"/>
          <w:sz w:val="24"/>
        </w:rPr>
      </w:pPr>
      <w:r>
        <w:rPr>
          <w:rFonts w:hint="eastAsia" w:ascii="黑体" w:hAnsi="黑体" w:eastAsia="黑体" w:cs="黑体"/>
          <w:b/>
          <w:sz w:val="24"/>
          <w:lang w:val="en-US" w:eastAsia="zh-CN"/>
        </w:rPr>
        <w:t>九</w:t>
      </w:r>
      <w:r>
        <w:rPr>
          <w:rFonts w:hint="eastAsia" w:ascii="黑体" w:hAnsi="黑体" w:eastAsia="黑体" w:cs="黑体"/>
          <w:b/>
          <w:sz w:val="24"/>
        </w:rPr>
        <w:t>、学业评价和课程考核</w:t>
      </w:r>
    </w:p>
    <w:p w14:paraId="7B319E0E">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（一）考核类型：</w:t>
      </w:r>
      <w:r>
        <w:rPr>
          <w:rFonts w:hint="eastAsia" w:ascii="仿宋_GB2312" w:hAnsi="仿宋_GB2312" w:eastAsia="仿宋_GB2312" w:cs="仿宋_GB2312"/>
          <w:sz w:val="24"/>
          <w:szCs w:val="24"/>
          <w:lang w:val="en-US" w:eastAsia="zh-CN"/>
        </w:rPr>
        <w:sym w:font="Wingdings" w:char="00A8"/>
      </w:r>
      <w:r>
        <w:rPr>
          <w:rFonts w:hint="eastAsia" w:ascii="仿宋_GB2312" w:hAnsi="仿宋_GB2312" w:eastAsia="仿宋_GB2312" w:cs="仿宋_GB2312"/>
          <w:sz w:val="24"/>
          <w:szCs w:val="24"/>
          <w:lang w:val="en-US" w:eastAsia="zh-CN"/>
        </w:rPr>
        <w:t xml:space="preserve">考试    </w:t>
      </w:r>
      <w:r>
        <w:rPr>
          <w:rFonts w:hint="eastAsia" w:ascii="仿宋_GB2312" w:hAnsi="仿宋_GB2312" w:eastAsia="仿宋_GB2312" w:cs="仿宋_GB2312"/>
          <w:sz w:val="24"/>
          <w:szCs w:val="24"/>
          <w:lang w:val="en-US" w:eastAsia="zh-CN"/>
        </w:rPr>
        <w:sym w:font="Wingdings" w:char="00FE"/>
      </w:r>
      <w:r>
        <w:rPr>
          <w:rFonts w:hint="eastAsia" w:ascii="仿宋_GB2312" w:hAnsi="仿宋_GB2312" w:eastAsia="仿宋_GB2312" w:cs="仿宋_GB2312"/>
          <w:sz w:val="24"/>
          <w:szCs w:val="24"/>
          <w:lang w:val="en-US" w:eastAsia="zh-CN"/>
        </w:rPr>
        <w:t>考查</w:t>
      </w:r>
    </w:p>
    <w:p w14:paraId="60A562F5">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（二）考核方式：</w:t>
      </w:r>
      <w:r>
        <w:rPr>
          <w:rFonts w:hint="eastAsia" w:ascii="仿宋_GB2312" w:hAnsi="仿宋_GB2312" w:eastAsia="仿宋_GB2312" w:cs="仿宋_GB2312"/>
          <w:sz w:val="24"/>
          <w:szCs w:val="24"/>
          <w:lang w:val="en-US" w:eastAsia="zh-CN"/>
        </w:rPr>
        <w:sym w:font="Wingdings" w:char="F0A8"/>
      </w:r>
      <w:r>
        <w:rPr>
          <w:rFonts w:hint="eastAsia" w:ascii="仿宋_GB2312" w:hAnsi="仿宋_GB2312" w:eastAsia="仿宋_GB2312" w:cs="仿宋_GB2312"/>
          <w:sz w:val="24"/>
          <w:szCs w:val="24"/>
          <w:lang w:val="en-US" w:eastAsia="zh-CN"/>
        </w:rPr>
        <w:t xml:space="preserve">开卷考试    </w:t>
      </w:r>
      <w:r>
        <w:rPr>
          <w:rFonts w:hint="eastAsia" w:ascii="仿宋_GB2312" w:hAnsi="仿宋_GB2312" w:eastAsia="仿宋_GB2312" w:cs="仿宋_GB2312"/>
          <w:sz w:val="24"/>
          <w:szCs w:val="24"/>
          <w:lang w:val="en-US" w:eastAsia="zh-CN"/>
        </w:rPr>
        <w:sym w:font="Wingdings" w:char="00A8"/>
      </w:r>
      <w:r>
        <w:rPr>
          <w:rFonts w:hint="eastAsia" w:ascii="仿宋_GB2312" w:hAnsi="仿宋_GB2312" w:eastAsia="仿宋_GB2312" w:cs="仿宋_GB2312"/>
          <w:sz w:val="24"/>
          <w:szCs w:val="24"/>
          <w:lang w:val="en-US" w:eastAsia="zh-CN"/>
        </w:rPr>
        <w:t xml:space="preserve">闭卷考试    </w:t>
      </w:r>
      <w:bookmarkStart w:id="1" w:name="OLE_LINK5"/>
      <w:bookmarkStart w:id="2" w:name="OLE_LINK7"/>
      <w:bookmarkStart w:id="3" w:name="OLE_LINK6"/>
      <w:bookmarkStart w:id="4" w:name="OLE_LINK8"/>
      <w:r>
        <w:rPr>
          <w:rFonts w:hint="eastAsia" w:ascii="仿宋_GB2312" w:hAnsi="仿宋_GB2312" w:eastAsia="仿宋_GB2312" w:cs="仿宋_GB2312"/>
          <w:sz w:val="24"/>
          <w:szCs w:val="24"/>
          <w:lang w:val="en-US" w:eastAsia="zh-CN"/>
        </w:rPr>
        <w:sym w:font="Wingdings" w:char="F0A8"/>
      </w:r>
      <w:r>
        <w:rPr>
          <w:rFonts w:hint="eastAsia" w:ascii="仿宋_GB2312" w:hAnsi="仿宋_GB2312" w:eastAsia="仿宋_GB2312" w:cs="仿宋_GB2312"/>
          <w:sz w:val="24"/>
          <w:szCs w:val="24"/>
          <w:lang w:val="en-US" w:eastAsia="zh-CN"/>
        </w:rPr>
        <w:t>课程论文</w:t>
      </w:r>
      <w:bookmarkEnd w:id="1"/>
      <w:bookmarkEnd w:id="2"/>
      <w:bookmarkEnd w:id="3"/>
      <w:bookmarkEnd w:id="4"/>
    </w:p>
    <w:p w14:paraId="3AF6BF62">
      <w:pPr>
        <w:spacing w:line="360" w:lineRule="auto"/>
        <w:ind w:firstLine="2400" w:firstLineChars="10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sym w:font="Wingdings" w:char="00FE"/>
      </w:r>
      <w:r>
        <w:rPr>
          <w:rFonts w:hint="eastAsia" w:ascii="仿宋_GB2312" w:hAnsi="仿宋_GB2312" w:eastAsia="仿宋_GB2312" w:cs="仿宋_GB2312"/>
          <w:sz w:val="24"/>
          <w:szCs w:val="24"/>
          <w:lang w:val="en-US" w:eastAsia="zh-CN"/>
        </w:rPr>
        <w:t xml:space="preserve">课程报告    </w:t>
      </w:r>
      <w:r>
        <w:rPr>
          <w:rFonts w:hint="eastAsia" w:ascii="仿宋_GB2312" w:hAnsi="仿宋_GB2312" w:eastAsia="仿宋_GB2312" w:cs="仿宋_GB2312"/>
          <w:sz w:val="24"/>
          <w:szCs w:val="24"/>
          <w:lang w:val="en-US" w:eastAsia="zh-CN"/>
        </w:rPr>
        <w:sym w:font="Wingdings" w:char="F0A8"/>
      </w:r>
      <w:r>
        <w:rPr>
          <w:rFonts w:hint="eastAsia" w:ascii="仿宋_GB2312" w:hAnsi="仿宋_GB2312" w:eastAsia="仿宋_GB2312" w:cs="仿宋_GB2312"/>
          <w:sz w:val="24"/>
          <w:szCs w:val="24"/>
          <w:lang w:val="en-US" w:eastAsia="zh-CN"/>
        </w:rPr>
        <w:t>其它：</w:t>
      </w:r>
      <w:r>
        <w:rPr>
          <w:rFonts w:hint="eastAsia" w:ascii="仿宋_GB2312" w:hAnsi="仿宋_GB2312" w:eastAsia="仿宋_GB2312" w:cs="仿宋_GB2312"/>
          <w:sz w:val="24"/>
          <w:szCs w:val="24"/>
          <w:u w:val="single"/>
          <w:lang w:val="en-US" w:eastAsia="zh-CN"/>
        </w:rPr>
        <w:t xml:space="preserve">                </w:t>
      </w:r>
    </w:p>
    <w:p w14:paraId="6FBBC90A">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（三）成绩评定：</w:t>
      </w:r>
    </w:p>
    <w:tbl>
      <w:tblPr>
        <w:tblStyle w:val="7"/>
        <w:tblW w:w="7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704"/>
        <w:gridCol w:w="1128"/>
        <w:gridCol w:w="850"/>
        <w:gridCol w:w="3526"/>
        <w:gridCol w:w="1582"/>
      </w:tblGrid>
      <w:tr w14:paraId="22F70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tblHeader/>
          <w:jc w:val="center"/>
        </w:trPr>
        <w:tc>
          <w:tcPr>
            <w:tcW w:w="704" w:type="dxa"/>
            <w:tcMar>
              <w:top w:w="57" w:type="dxa"/>
              <w:bottom w:w="57" w:type="dxa"/>
            </w:tcMar>
            <w:vAlign w:val="center"/>
          </w:tcPr>
          <w:p w14:paraId="377481CF">
            <w:pPr>
              <w:snapToGrid w:val="0"/>
              <w:jc w:val="center"/>
              <w:rPr>
                <w:rFonts w:hint="eastAsia" w:ascii="黑体" w:hAnsi="黑体" w:eastAsia="黑体" w:cs="黑体"/>
                <w:b/>
                <w:sz w:val="24"/>
                <w:szCs w:val="24"/>
              </w:rPr>
            </w:pPr>
            <w:r>
              <w:rPr>
                <w:rFonts w:hint="eastAsia" w:ascii="黑体" w:hAnsi="黑体" w:eastAsia="黑体" w:cs="黑体"/>
                <w:b/>
                <w:sz w:val="24"/>
                <w:szCs w:val="24"/>
              </w:rPr>
              <w:t>考核</w:t>
            </w:r>
          </w:p>
          <w:p w14:paraId="463294D1">
            <w:pPr>
              <w:snapToGrid w:val="0"/>
              <w:jc w:val="center"/>
              <w:rPr>
                <w:rFonts w:hint="eastAsia" w:ascii="黑体" w:hAnsi="黑体" w:eastAsia="黑体" w:cs="黑体"/>
                <w:b/>
                <w:sz w:val="24"/>
                <w:szCs w:val="24"/>
              </w:rPr>
            </w:pPr>
            <w:r>
              <w:rPr>
                <w:rFonts w:hint="eastAsia" w:ascii="黑体" w:hAnsi="黑体" w:eastAsia="黑体" w:cs="黑体"/>
                <w:b/>
                <w:sz w:val="24"/>
                <w:szCs w:val="24"/>
              </w:rPr>
              <w:t>依据</w:t>
            </w:r>
          </w:p>
        </w:tc>
        <w:tc>
          <w:tcPr>
            <w:tcW w:w="5504" w:type="dxa"/>
            <w:gridSpan w:val="3"/>
            <w:tcMar>
              <w:top w:w="57" w:type="dxa"/>
              <w:bottom w:w="57" w:type="dxa"/>
            </w:tcMar>
            <w:vAlign w:val="center"/>
          </w:tcPr>
          <w:p w14:paraId="1EB9A12A">
            <w:pPr>
              <w:snapToGrid w:val="0"/>
              <w:jc w:val="center"/>
              <w:rPr>
                <w:rFonts w:hint="eastAsia" w:ascii="黑体" w:hAnsi="黑体" w:eastAsia="黑体" w:cs="黑体"/>
                <w:b/>
                <w:sz w:val="24"/>
                <w:szCs w:val="24"/>
              </w:rPr>
            </w:pPr>
            <w:r>
              <w:rPr>
                <w:rFonts w:hint="eastAsia" w:ascii="黑体" w:hAnsi="黑体" w:eastAsia="黑体" w:cs="黑体"/>
                <w:b/>
                <w:sz w:val="24"/>
                <w:szCs w:val="24"/>
              </w:rPr>
              <w:t>考核/评价细则</w:t>
            </w:r>
          </w:p>
        </w:tc>
        <w:tc>
          <w:tcPr>
            <w:tcW w:w="1582" w:type="dxa"/>
            <w:tcMar>
              <w:top w:w="57" w:type="dxa"/>
              <w:bottom w:w="57" w:type="dxa"/>
            </w:tcMar>
            <w:vAlign w:val="center"/>
          </w:tcPr>
          <w:p w14:paraId="3730FD45">
            <w:pPr>
              <w:snapToGrid w:val="0"/>
              <w:jc w:val="center"/>
              <w:rPr>
                <w:rFonts w:hint="eastAsia" w:ascii="黑体" w:hAnsi="黑体" w:eastAsia="黑体" w:cs="黑体"/>
                <w:b/>
                <w:sz w:val="24"/>
                <w:szCs w:val="24"/>
              </w:rPr>
            </w:pPr>
            <w:r>
              <w:rPr>
                <w:rFonts w:hint="eastAsia" w:ascii="黑体" w:hAnsi="黑体" w:eastAsia="黑体" w:cs="黑体"/>
                <w:b/>
                <w:sz w:val="24"/>
                <w:szCs w:val="24"/>
              </w:rPr>
              <w:t>对应课程目标</w:t>
            </w:r>
          </w:p>
        </w:tc>
      </w:tr>
      <w:tr w14:paraId="211E2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704" w:type="dxa"/>
            <w:vMerge w:val="restart"/>
            <w:tcMar>
              <w:top w:w="57" w:type="dxa"/>
              <w:bottom w:w="57" w:type="dxa"/>
            </w:tcMar>
            <w:vAlign w:val="center"/>
          </w:tcPr>
          <w:p w14:paraId="745F22FB">
            <w:pPr>
              <w:snapToGrid w:val="0"/>
              <w:jc w:val="center"/>
              <w:rPr>
                <w:rFonts w:hint="eastAsia" w:ascii="黑体" w:hAnsi="黑体" w:eastAsia="黑体" w:cs="黑体"/>
                <w:b/>
                <w:sz w:val="24"/>
                <w:szCs w:val="24"/>
              </w:rPr>
            </w:pPr>
          </w:p>
        </w:tc>
        <w:tc>
          <w:tcPr>
            <w:tcW w:w="1128" w:type="dxa"/>
            <w:tcMar>
              <w:top w:w="57" w:type="dxa"/>
              <w:bottom w:w="57" w:type="dxa"/>
            </w:tcMar>
            <w:vAlign w:val="center"/>
          </w:tcPr>
          <w:p w14:paraId="0BC7A805">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黑体" w:hAnsi="黑体" w:eastAsia="黑体" w:cs="黑体"/>
                <w:b/>
                <w:sz w:val="24"/>
                <w:szCs w:val="24"/>
                <w:lang w:eastAsia="zh-CN"/>
              </w:rPr>
            </w:pPr>
            <w:r>
              <w:rPr>
                <w:rFonts w:hint="eastAsia" w:ascii="黑体" w:hAnsi="黑体" w:eastAsia="黑体" w:cs="黑体"/>
                <w:b/>
                <w:sz w:val="24"/>
                <w:szCs w:val="24"/>
                <w:lang w:val="en-US" w:eastAsia="zh-CN"/>
              </w:rPr>
              <w:t>平时考核</w:t>
            </w:r>
          </w:p>
        </w:tc>
        <w:tc>
          <w:tcPr>
            <w:tcW w:w="850" w:type="dxa"/>
            <w:tcMar>
              <w:top w:w="57" w:type="dxa"/>
              <w:bottom w:w="57" w:type="dxa"/>
            </w:tcMar>
            <w:vAlign w:val="center"/>
          </w:tcPr>
          <w:p w14:paraId="7FA71902">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30</w:t>
            </w:r>
          </w:p>
        </w:tc>
        <w:tc>
          <w:tcPr>
            <w:tcW w:w="3526" w:type="dxa"/>
            <w:tcMar>
              <w:top w:w="57" w:type="dxa"/>
              <w:bottom w:w="57" w:type="dxa"/>
            </w:tcMar>
            <w:vAlign w:val="center"/>
          </w:tcPr>
          <w:p w14:paraId="06D4CD24">
            <w:pPr>
              <w:spacing w:line="360" w:lineRule="auto"/>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学生自学、课堂回答问题和参与讨论的课堂表现情况，以及课堂作业完成情况。</w:t>
            </w:r>
          </w:p>
        </w:tc>
        <w:tc>
          <w:tcPr>
            <w:tcW w:w="1582" w:type="dxa"/>
            <w:tcMar>
              <w:top w:w="57" w:type="dxa"/>
              <w:bottom w:w="57" w:type="dxa"/>
            </w:tcMar>
            <w:vAlign w:val="center"/>
          </w:tcPr>
          <w:p w14:paraId="64635E0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课程目标1</w:t>
            </w:r>
          </w:p>
        </w:tc>
      </w:tr>
      <w:tr w14:paraId="4A019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16" w:hRule="atLeast"/>
          <w:jc w:val="center"/>
        </w:trPr>
        <w:tc>
          <w:tcPr>
            <w:tcW w:w="704" w:type="dxa"/>
            <w:vMerge w:val="continue"/>
            <w:tcMar>
              <w:top w:w="57" w:type="dxa"/>
              <w:bottom w:w="57" w:type="dxa"/>
            </w:tcMar>
            <w:vAlign w:val="center"/>
          </w:tcPr>
          <w:p w14:paraId="6E02089D">
            <w:pPr>
              <w:snapToGrid w:val="0"/>
              <w:jc w:val="center"/>
              <w:rPr>
                <w:rFonts w:hint="eastAsia" w:ascii="黑体" w:hAnsi="黑体" w:eastAsia="黑体" w:cs="黑体"/>
                <w:b/>
                <w:snapToGrid w:val="0"/>
                <w:sz w:val="24"/>
                <w:szCs w:val="24"/>
              </w:rPr>
            </w:pPr>
          </w:p>
        </w:tc>
        <w:tc>
          <w:tcPr>
            <w:tcW w:w="1128" w:type="dxa"/>
            <w:tcMar>
              <w:top w:w="57" w:type="dxa"/>
              <w:bottom w:w="57" w:type="dxa"/>
            </w:tcMar>
            <w:vAlign w:val="center"/>
          </w:tcPr>
          <w:p w14:paraId="22FBFABE">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黑体" w:hAnsi="黑体" w:eastAsia="黑体" w:cs="黑体"/>
                <w:b/>
                <w:sz w:val="24"/>
                <w:szCs w:val="24"/>
                <w:lang w:val="en-US" w:eastAsia="zh-CN"/>
              </w:rPr>
            </w:pPr>
            <w:r>
              <w:rPr>
                <w:rFonts w:hint="eastAsia" w:ascii="黑体" w:hAnsi="黑体" w:eastAsia="黑体" w:cs="黑体"/>
                <w:b/>
                <w:sz w:val="24"/>
                <w:szCs w:val="24"/>
                <w:lang w:val="en-US" w:eastAsia="zh-CN"/>
              </w:rPr>
              <w:t>实验成绩</w:t>
            </w:r>
          </w:p>
        </w:tc>
        <w:tc>
          <w:tcPr>
            <w:tcW w:w="850" w:type="dxa"/>
            <w:tcMar>
              <w:top w:w="57" w:type="dxa"/>
              <w:bottom w:w="57" w:type="dxa"/>
            </w:tcMar>
            <w:vAlign w:val="center"/>
          </w:tcPr>
          <w:p w14:paraId="1B76DA1F">
            <w:pPr>
              <w:keepNext w:val="0"/>
              <w:keepLines w:val="0"/>
              <w:pageBreakBefore w:val="0"/>
              <w:widowControl w:val="0"/>
              <w:kinsoku/>
              <w:wordWrap/>
              <w:overflowPunct/>
              <w:topLinePunct w:val="0"/>
              <w:autoSpaceDE/>
              <w:autoSpaceDN/>
              <w:bidi w:val="0"/>
              <w:adjustRightInd/>
              <w:spacing w:line="360" w:lineRule="auto"/>
              <w:ind w:firstLine="0" w:firstLineChars="0"/>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70</w:t>
            </w:r>
          </w:p>
        </w:tc>
        <w:tc>
          <w:tcPr>
            <w:tcW w:w="3526" w:type="dxa"/>
            <w:tcMar>
              <w:top w:w="57" w:type="dxa"/>
              <w:bottom w:w="57" w:type="dxa"/>
            </w:tcMar>
            <w:vAlign w:val="center"/>
          </w:tcPr>
          <w:p w14:paraId="1786B1ED">
            <w:pPr>
              <w:spacing w:line="360" w:lineRule="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学生对仪器分析原理的掌握情况，学生对基础色谱、光谱、核磁共振仪器的操作情况，以及数据处理与分析的能力。</w:t>
            </w:r>
          </w:p>
        </w:tc>
        <w:tc>
          <w:tcPr>
            <w:tcW w:w="1582" w:type="dxa"/>
            <w:tcMar>
              <w:top w:w="57" w:type="dxa"/>
              <w:bottom w:w="57" w:type="dxa"/>
            </w:tcMar>
            <w:vAlign w:val="center"/>
          </w:tcPr>
          <w:p w14:paraId="7924A7B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课程目标1</w:t>
            </w:r>
          </w:p>
          <w:p w14:paraId="5451F9A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课程目标2</w:t>
            </w:r>
          </w:p>
          <w:p w14:paraId="4DBEC15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_GB2312" w:hAnsi="仿宋_GB2312" w:eastAsia="仿宋_GB2312" w:cs="仿宋_GB2312"/>
                <w:color w:val="auto"/>
                <w:sz w:val="24"/>
                <w:szCs w:val="24"/>
                <w:lang w:val="en-US" w:eastAsia="zh-CN"/>
              </w:rPr>
            </w:pPr>
          </w:p>
        </w:tc>
      </w:tr>
    </w:tbl>
    <w:p w14:paraId="52C6D55E">
      <w:pPr>
        <w:spacing w:line="360" w:lineRule="auto"/>
        <w:ind w:firstLine="482" w:firstLineChars="200"/>
        <w:rPr>
          <w:rFonts w:hint="eastAsia" w:ascii="黑体" w:hAnsi="黑体" w:eastAsia="黑体" w:cs="黑体"/>
          <w:b w:val="0"/>
          <w:bCs/>
          <w:color w:val="FF0000"/>
          <w:sz w:val="24"/>
        </w:rPr>
      </w:pPr>
      <w:r>
        <w:rPr>
          <w:rFonts w:hint="eastAsia" w:ascii="黑体" w:hAnsi="黑体" w:eastAsia="黑体" w:cs="黑体"/>
          <w:b/>
          <w:sz w:val="24"/>
          <w:lang w:val="en-US" w:eastAsia="zh-CN"/>
        </w:rPr>
        <w:t>十</w:t>
      </w:r>
      <w:r>
        <w:rPr>
          <w:rFonts w:hint="eastAsia" w:ascii="黑体" w:hAnsi="黑体" w:eastAsia="黑体" w:cs="黑体"/>
          <w:b/>
          <w:sz w:val="24"/>
        </w:rPr>
        <w:t>、课程目标达成评价</w:t>
      </w:r>
    </w:p>
    <w:p w14:paraId="2D16C097">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lang w:val="en-US" w:eastAsia="zh-CN"/>
        </w:rPr>
        <w:t>依</w:t>
      </w:r>
      <w:r>
        <w:rPr>
          <w:rFonts w:hint="eastAsia" w:ascii="仿宋_GB2312" w:hAnsi="仿宋_GB2312" w:eastAsia="仿宋_GB2312" w:cs="仿宋_GB2312"/>
          <w:sz w:val="24"/>
        </w:rPr>
        <w:t>据</w:t>
      </w:r>
      <w:r>
        <w:rPr>
          <w:rFonts w:hint="eastAsia" w:ascii="仿宋_GB2312" w:hAnsi="仿宋_GB2312" w:eastAsia="仿宋_GB2312" w:cs="仿宋_GB2312"/>
          <w:sz w:val="24"/>
          <w:lang w:val="en-US" w:eastAsia="zh-CN"/>
        </w:rPr>
        <w:t>学部制定的</w:t>
      </w:r>
      <w:r>
        <w:rPr>
          <w:rFonts w:hint="eastAsia" w:ascii="仿宋_GB2312" w:hAnsi="仿宋_GB2312" w:eastAsia="仿宋_GB2312" w:cs="仿宋_GB2312"/>
          <w:sz w:val="24"/>
        </w:rPr>
        <w:t>课程目标</w:t>
      </w:r>
      <w:r>
        <w:rPr>
          <w:rFonts w:hint="eastAsia" w:ascii="仿宋_GB2312" w:hAnsi="仿宋_GB2312" w:eastAsia="仿宋_GB2312" w:cs="仿宋_GB2312"/>
          <w:sz w:val="24"/>
          <w:lang w:val="en-US" w:eastAsia="zh-CN"/>
        </w:rPr>
        <w:t>达成度评价方法进行</w:t>
      </w:r>
      <w:r>
        <w:rPr>
          <w:rFonts w:hint="eastAsia" w:ascii="仿宋_GB2312" w:hAnsi="仿宋_GB2312" w:eastAsia="仿宋_GB2312" w:cs="仿宋_GB2312"/>
          <w:sz w:val="24"/>
          <w:lang w:eastAsia="zh-CN"/>
        </w:rPr>
        <w:t>。</w:t>
      </w:r>
    </w:p>
    <w:p w14:paraId="058D2560">
      <w:pPr>
        <w:spacing w:line="360" w:lineRule="auto"/>
        <w:ind w:firstLine="482" w:firstLineChars="200"/>
        <w:rPr>
          <w:rFonts w:hint="eastAsia" w:ascii="黑体" w:hAnsi="黑体" w:eastAsia="黑体" w:cs="黑体"/>
          <w:b w:val="0"/>
          <w:bCs/>
          <w:color w:val="FF0000"/>
          <w:lang w:val="en-US" w:eastAsia="zh-CN"/>
        </w:rPr>
      </w:pPr>
      <w:r>
        <w:rPr>
          <w:rFonts w:hint="eastAsia" w:ascii="黑体" w:hAnsi="黑体" w:eastAsia="黑体" w:cs="黑体"/>
          <w:b/>
          <w:sz w:val="24"/>
        </w:rPr>
        <w:t>十</w:t>
      </w:r>
      <w:r>
        <w:rPr>
          <w:rFonts w:hint="eastAsia" w:ascii="黑体" w:hAnsi="黑体" w:eastAsia="黑体" w:cs="黑体"/>
          <w:b/>
          <w:sz w:val="24"/>
          <w:lang w:val="en-US" w:eastAsia="zh-CN"/>
        </w:rPr>
        <w:t>一</w:t>
      </w:r>
      <w:r>
        <w:rPr>
          <w:rFonts w:hint="eastAsia" w:ascii="黑体" w:hAnsi="黑体" w:eastAsia="黑体" w:cs="黑体"/>
          <w:b/>
          <w:sz w:val="24"/>
        </w:rPr>
        <w:t>、推荐教材和</w:t>
      </w:r>
      <w:r>
        <w:rPr>
          <w:rFonts w:hint="eastAsia" w:ascii="黑体" w:hAnsi="黑体" w:eastAsia="黑体" w:cs="黑体"/>
          <w:b/>
          <w:sz w:val="24"/>
          <w:lang w:val="en-US" w:eastAsia="zh-CN"/>
        </w:rPr>
        <w:t>主要</w:t>
      </w:r>
      <w:r>
        <w:rPr>
          <w:rFonts w:hint="eastAsia" w:ascii="黑体" w:hAnsi="黑体" w:eastAsia="黑体" w:cs="黑体"/>
          <w:b/>
          <w:sz w:val="24"/>
        </w:rPr>
        <w:t>参考</w:t>
      </w:r>
      <w:r>
        <w:rPr>
          <w:rFonts w:hint="eastAsia" w:ascii="黑体" w:hAnsi="黑体" w:eastAsia="黑体" w:cs="黑体"/>
          <w:b/>
          <w:sz w:val="24"/>
          <w:lang w:val="en-US" w:eastAsia="zh-CN"/>
        </w:rPr>
        <w:t>资料</w:t>
      </w:r>
    </w:p>
    <w:p w14:paraId="661969AD">
      <w:pPr>
        <w:spacing w:line="360" w:lineRule="auto"/>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 推荐教材</w:t>
      </w:r>
    </w:p>
    <w:p w14:paraId="4F0AD0A8">
      <w:pPr>
        <w:spacing w:line="360" w:lineRule="auto"/>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仪器分析教程(第3版)，张新祥等著，北京大学出版社，2022年。</w:t>
      </w:r>
    </w:p>
    <w:p w14:paraId="475528C9">
      <w:pPr>
        <w:spacing w:line="360" w:lineRule="auto"/>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 参考教材</w:t>
      </w:r>
    </w:p>
    <w:p w14:paraId="00AE2617">
      <w:pPr>
        <w:spacing w:line="360" w:lineRule="auto"/>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（1）仪器分析（第5版），胡坪，王氢 编，高等教育出版社，2019年。</w:t>
      </w:r>
    </w:p>
    <w:p w14:paraId="025D7C40">
      <w:pPr>
        <w:spacing w:line="360" w:lineRule="auto"/>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（2）仪器分析，方惠群，于俊生，史坚 著，科学出版社，2019年。</w:t>
      </w:r>
    </w:p>
    <w:p w14:paraId="07A6EE93">
      <w:pPr>
        <w:spacing w:line="360" w:lineRule="auto"/>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（3）现代仪器分析，付敏，程弘夏 著，化学工业出版社，2018年。</w:t>
      </w:r>
    </w:p>
    <w:p w14:paraId="30CF4BF1">
      <w:pPr>
        <w:spacing w:line="360" w:lineRule="auto"/>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（4）现代仪器分析实验，干宁, 沈昊宇, 贾志舰, 林建原 著，化学工业出版社，2018年。</w:t>
      </w:r>
    </w:p>
    <w:p w14:paraId="01462D84">
      <w:pPr>
        <w:spacing w:line="360" w:lineRule="auto"/>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（5）仪器分析实验，郭明,吴荣晖, 俞飞 著， 化学工业出版社，2018年。</w:t>
      </w:r>
    </w:p>
    <w:p w14:paraId="4AF9165A">
      <w:pPr>
        <w:spacing w:line="360" w:lineRule="auto"/>
        <w:ind w:firstLine="480" w:firstLineChars="200"/>
        <w:rPr>
          <w:rFonts w:hint="eastAsia" w:ascii="Times New Roman" w:hAnsi="Times New Roman" w:cs="Times New Roman"/>
          <w:sz w:val="24"/>
        </w:rPr>
      </w:pPr>
    </w:p>
    <w:sectPr>
      <w:footerReference r:id="rId3" w:type="default"/>
      <w:pgSz w:w="11906" w:h="16838"/>
      <w:pgMar w:top="1701" w:right="1701" w:bottom="1701" w:left="1701"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682DFD4-6280-46E3-B3D4-99CB5B3EDFA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CA22AC5C-BB3C-4FFF-9ADD-F6316BF071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3" w:fontKey="{4057C759-E549-416B-B707-767752E3BA68}"/>
  </w:font>
  <w:font w:name="仿宋">
    <w:panose1 w:val="02010609060101010101"/>
    <w:charset w:val="86"/>
    <w:family w:val="auto"/>
    <w:pitch w:val="default"/>
    <w:sig w:usb0="800002BF" w:usb1="38CF7CFA" w:usb2="00000016" w:usb3="00000000" w:csb0="00040001" w:csb1="00000000"/>
    <w:embedRegular r:id="rId4" w:fontKey="{FD682FAD-BBC4-44B2-9514-1E8DAE618D29}"/>
  </w:font>
  <w:font w:name="仿宋_GB2312">
    <w:panose1 w:val="02010609030101010101"/>
    <w:charset w:val="86"/>
    <w:family w:val="modern"/>
    <w:pitch w:val="default"/>
    <w:sig w:usb0="00000001" w:usb1="080E0000" w:usb2="00000000" w:usb3="00000000" w:csb0="00040000" w:csb1="00000000"/>
    <w:embedRegular r:id="rId5" w:fontKey="{739BCEC8-4446-4217-8B1F-831FFEDA9EE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5B67FEE3">
        <w:pPr>
          <w:pStyle w:val="3"/>
          <w:jc w:val="center"/>
        </w:pPr>
        <w:r>
          <w:fldChar w:fldCharType="begin"/>
        </w:r>
        <w:r>
          <w:instrText xml:space="preserve">PAGE   \* MERGEFORMAT</w:instrText>
        </w:r>
        <w:r>
          <w:fldChar w:fldCharType="separate"/>
        </w:r>
        <w:r>
          <w:rPr>
            <w:lang w:val="zh-CN"/>
          </w:rPr>
          <w:t>3</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EB979"/>
    <w:multiLevelType w:val="singleLevel"/>
    <w:tmpl w:val="861EB979"/>
    <w:lvl w:ilvl="0" w:tentative="0">
      <w:start w:val="3"/>
      <w:numFmt w:val="chineseCounting"/>
      <w:suff w:val="nothing"/>
      <w:lvlText w:val="（%1）"/>
      <w:lvlJc w:val="left"/>
      <w:rPr>
        <w:rFonts w:hint="eastAsia"/>
      </w:rPr>
    </w:lvl>
  </w:abstractNum>
  <w:abstractNum w:abstractNumId="1">
    <w:nsid w:val="BDD3687C"/>
    <w:multiLevelType w:val="singleLevel"/>
    <w:tmpl w:val="BDD3687C"/>
    <w:lvl w:ilvl="0" w:tentative="0">
      <w:start w:val="3"/>
      <w:numFmt w:val="chineseCounting"/>
      <w:suff w:val="space"/>
      <w:lvlText w:val="第%1章"/>
      <w:lvlJc w:val="left"/>
      <w:rPr>
        <w:rFonts w:hint="eastAsia"/>
      </w:rPr>
    </w:lvl>
  </w:abstractNum>
  <w:abstractNum w:abstractNumId="2">
    <w:nsid w:val="D0D70830"/>
    <w:multiLevelType w:val="singleLevel"/>
    <w:tmpl w:val="D0D70830"/>
    <w:lvl w:ilvl="0" w:tentative="0">
      <w:start w:val="4"/>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xODg1N2Q5NjgxY2M3ZWQ1YzBmMDE4NzQ4YjBiMGMifQ=="/>
  </w:docVars>
  <w:rsids>
    <w:rsidRoot w:val="00AD5DDA"/>
    <w:rsid w:val="00002675"/>
    <w:rsid w:val="00027488"/>
    <w:rsid w:val="00030D83"/>
    <w:rsid w:val="000506F3"/>
    <w:rsid w:val="000519F2"/>
    <w:rsid w:val="00063C9B"/>
    <w:rsid w:val="00083EAE"/>
    <w:rsid w:val="00093111"/>
    <w:rsid w:val="000B4B2E"/>
    <w:rsid w:val="000B606C"/>
    <w:rsid w:val="000C40B6"/>
    <w:rsid w:val="000D19C8"/>
    <w:rsid w:val="000F10CB"/>
    <w:rsid w:val="00103E3F"/>
    <w:rsid w:val="001153DA"/>
    <w:rsid w:val="001230EA"/>
    <w:rsid w:val="0013535D"/>
    <w:rsid w:val="001415AB"/>
    <w:rsid w:val="00143B40"/>
    <w:rsid w:val="00150B19"/>
    <w:rsid w:val="00152429"/>
    <w:rsid w:val="001531FA"/>
    <w:rsid w:val="00156610"/>
    <w:rsid w:val="0016135F"/>
    <w:rsid w:val="00191D10"/>
    <w:rsid w:val="001A7361"/>
    <w:rsid w:val="001B2997"/>
    <w:rsid w:val="001D527D"/>
    <w:rsid w:val="001F7B0C"/>
    <w:rsid w:val="00200642"/>
    <w:rsid w:val="00201D3C"/>
    <w:rsid w:val="00206EB4"/>
    <w:rsid w:val="00260260"/>
    <w:rsid w:val="002804E9"/>
    <w:rsid w:val="002B2908"/>
    <w:rsid w:val="002C5439"/>
    <w:rsid w:val="002D5B60"/>
    <w:rsid w:val="00302336"/>
    <w:rsid w:val="00317C6C"/>
    <w:rsid w:val="00317DA8"/>
    <w:rsid w:val="00323554"/>
    <w:rsid w:val="003520E9"/>
    <w:rsid w:val="003602AC"/>
    <w:rsid w:val="00367288"/>
    <w:rsid w:val="003B1B59"/>
    <w:rsid w:val="003B31D5"/>
    <w:rsid w:val="003E7463"/>
    <w:rsid w:val="003F05C6"/>
    <w:rsid w:val="00417CE1"/>
    <w:rsid w:val="0044625B"/>
    <w:rsid w:val="00450011"/>
    <w:rsid w:val="00462EBB"/>
    <w:rsid w:val="00463898"/>
    <w:rsid w:val="004A4A37"/>
    <w:rsid w:val="004C6086"/>
    <w:rsid w:val="004E7364"/>
    <w:rsid w:val="00501C19"/>
    <w:rsid w:val="00511C55"/>
    <w:rsid w:val="00542185"/>
    <w:rsid w:val="005579B4"/>
    <w:rsid w:val="00561E49"/>
    <w:rsid w:val="00581698"/>
    <w:rsid w:val="00587938"/>
    <w:rsid w:val="005B1C4A"/>
    <w:rsid w:val="005B3036"/>
    <w:rsid w:val="005C6E5B"/>
    <w:rsid w:val="005D54D6"/>
    <w:rsid w:val="00617853"/>
    <w:rsid w:val="00625E44"/>
    <w:rsid w:val="00654ED2"/>
    <w:rsid w:val="00661635"/>
    <w:rsid w:val="006711DF"/>
    <w:rsid w:val="00684B0F"/>
    <w:rsid w:val="006B0D56"/>
    <w:rsid w:val="006C2ED5"/>
    <w:rsid w:val="006F305C"/>
    <w:rsid w:val="0070025D"/>
    <w:rsid w:val="00711C82"/>
    <w:rsid w:val="007153B6"/>
    <w:rsid w:val="00726F99"/>
    <w:rsid w:val="007532A6"/>
    <w:rsid w:val="00764436"/>
    <w:rsid w:val="007820AB"/>
    <w:rsid w:val="00803632"/>
    <w:rsid w:val="00826695"/>
    <w:rsid w:val="0086674C"/>
    <w:rsid w:val="00877997"/>
    <w:rsid w:val="00881533"/>
    <w:rsid w:val="00883012"/>
    <w:rsid w:val="00886844"/>
    <w:rsid w:val="008B3981"/>
    <w:rsid w:val="008C27AF"/>
    <w:rsid w:val="008C6FA8"/>
    <w:rsid w:val="008D2D05"/>
    <w:rsid w:val="008E768D"/>
    <w:rsid w:val="008F2AD3"/>
    <w:rsid w:val="00901B9C"/>
    <w:rsid w:val="00913330"/>
    <w:rsid w:val="00923999"/>
    <w:rsid w:val="0093377A"/>
    <w:rsid w:val="00954AE9"/>
    <w:rsid w:val="00957DBF"/>
    <w:rsid w:val="009834E5"/>
    <w:rsid w:val="00993DF9"/>
    <w:rsid w:val="009A0EFD"/>
    <w:rsid w:val="009D7179"/>
    <w:rsid w:val="009E0901"/>
    <w:rsid w:val="009E2E55"/>
    <w:rsid w:val="009E5A22"/>
    <w:rsid w:val="00A0220C"/>
    <w:rsid w:val="00A113F8"/>
    <w:rsid w:val="00A5014F"/>
    <w:rsid w:val="00A849F7"/>
    <w:rsid w:val="00AA7A98"/>
    <w:rsid w:val="00AB418B"/>
    <w:rsid w:val="00AD5DDA"/>
    <w:rsid w:val="00B27FCB"/>
    <w:rsid w:val="00B40FAB"/>
    <w:rsid w:val="00B41964"/>
    <w:rsid w:val="00B5405A"/>
    <w:rsid w:val="00B543DB"/>
    <w:rsid w:val="00BA397E"/>
    <w:rsid w:val="00BB1603"/>
    <w:rsid w:val="00BB1A63"/>
    <w:rsid w:val="00BB4F00"/>
    <w:rsid w:val="00BD454C"/>
    <w:rsid w:val="00BE52E6"/>
    <w:rsid w:val="00BF3114"/>
    <w:rsid w:val="00C0533D"/>
    <w:rsid w:val="00C058CE"/>
    <w:rsid w:val="00C12193"/>
    <w:rsid w:val="00C3286E"/>
    <w:rsid w:val="00C34826"/>
    <w:rsid w:val="00C3508A"/>
    <w:rsid w:val="00C43DF1"/>
    <w:rsid w:val="00C541FC"/>
    <w:rsid w:val="00C861A3"/>
    <w:rsid w:val="00C91438"/>
    <w:rsid w:val="00C93EB2"/>
    <w:rsid w:val="00CA4011"/>
    <w:rsid w:val="00CF18A2"/>
    <w:rsid w:val="00D023E8"/>
    <w:rsid w:val="00D0418D"/>
    <w:rsid w:val="00D07776"/>
    <w:rsid w:val="00D15122"/>
    <w:rsid w:val="00D17AAC"/>
    <w:rsid w:val="00D340AE"/>
    <w:rsid w:val="00D6263F"/>
    <w:rsid w:val="00D70870"/>
    <w:rsid w:val="00D75F3D"/>
    <w:rsid w:val="00D95AB1"/>
    <w:rsid w:val="00DA6957"/>
    <w:rsid w:val="00DE455A"/>
    <w:rsid w:val="00DE4800"/>
    <w:rsid w:val="00DE4AAD"/>
    <w:rsid w:val="00DE7927"/>
    <w:rsid w:val="00E03E38"/>
    <w:rsid w:val="00E40828"/>
    <w:rsid w:val="00E4402A"/>
    <w:rsid w:val="00E50673"/>
    <w:rsid w:val="00E53265"/>
    <w:rsid w:val="00E57B81"/>
    <w:rsid w:val="00E6096D"/>
    <w:rsid w:val="00E625A6"/>
    <w:rsid w:val="00E7775E"/>
    <w:rsid w:val="00E81A46"/>
    <w:rsid w:val="00E84F59"/>
    <w:rsid w:val="00EA0BF1"/>
    <w:rsid w:val="00EB6165"/>
    <w:rsid w:val="00EB66B2"/>
    <w:rsid w:val="00ED4B96"/>
    <w:rsid w:val="00ED6D05"/>
    <w:rsid w:val="00EF2E80"/>
    <w:rsid w:val="00EF69FA"/>
    <w:rsid w:val="00F06507"/>
    <w:rsid w:val="00F12A19"/>
    <w:rsid w:val="00F14DFE"/>
    <w:rsid w:val="00F379CC"/>
    <w:rsid w:val="00F52885"/>
    <w:rsid w:val="00F55A4D"/>
    <w:rsid w:val="00F600A4"/>
    <w:rsid w:val="00F70A53"/>
    <w:rsid w:val="00F864B2"/>
    <w:rsid w:val="00F92E5D"/>
    <w:rsid w:val="00F93936"/>
    <w:rsid w:val="00FA27B3"/>
    <w:rsid w:val="00FA5586"/>
    <w:rsid w:val="00FB3458"/>
    <w:rsid w:val="00FB58AF"/>
    <w:rsid w:val="00FC12A4"/>
    <w:rsid w:val="00FC4A93"/>
    <w:rsid w:val="00FD27DF"/>
    <w:rsid w:val="00FD7EDF"/>
    <w:rsid w:val="00FE0499"/>
    <w:rsid w:val="00FF3AC5"/>
    <w:rsid w:val="011618E0"/>
    <w:rsid w:val="0D4A4828"/>
    <w:rsid w:val="125379AF"/>
    <w:rsid w:val="1ADB1CDF"/>
    <w:rsid w:val="1B0014F6"/>
    <w:rsid w:val="1C6472BB"/>
    <w:rsid w:val="22CE1B2C"/>
    <w:rsid w:val="28BF7CA2"/>
    <w:rsid w:val="36FE2A56"/>
    <w:rsid w:val="3CCB6D7A"/>
    <w:rsid w:val="3F5A2FEB"/>
    <w:rsid w:val="3FFF87A0"/>
    <w:rsid w:val="414933E0"/>
    <w:rsid w:val="473433B7"/>
    <w:rsid w:val="47AA4941"/>
    <w:rsid w:val="5450644C"/>
    <w:rsid w:val="54FD7A17"/>
    <w:rsid w:val="626F696F"/>
    <w:rsid w:val="63B0203E"/>
    <w:rsid w:val="66140709"/>
    <w:rsid w:val="672D39C9"/>
    <w:rsid w:val="6A8F5EDE"/>
    <w:rsid w:val="6B080AA9"/>
    <w:rsid w:val="748C2B39"/>
    <w:rsid w:val="761076F7"/>
    <w:rsid w:val="79B60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autoRedefine/>
    <w:semiHidden/>
    <w:qFormat/>
    <w:uiPriority w:val="0"/>
    <w:rPr>
      <w:sz w:val="18"/>
      <w:szCs w:val="18"/>
    </w:rPr>
  </w:style>
  <w:style w:type="paragraph" w:styleId="3">
    <w:name w:val="footer"/>
    <w:basedOn w:val="1"/>
    <w:link w:val="13"/>
    <w:autoRedefine/>
    <w:qFormat/>
    <w:uiPriority w:val="99"/>
    <w:pPr>
      <w:tabs>
        <w:tab w:val="center" w:pos="4153"/>
        <w:tab w:val="right" w:pos="8306"/>
      </w:tabs>
      <w:snapToGrid w:val="0"/>
      <w:jc w:val="left"/>
    </w:pPr>
    <w:rPr>
      <w:sz w:val="18"/>
      <w:szCs w:val="18"/>
    </w:rPr>
  </w:style>
  <w:style w:type="paragraph" w:styleId="4">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semiHidden/>
    <w:qFormat/>
    <w:uiPriority w:val="0"/>
    <w:pPr>
      <w:spacing w:before="120" w:after="120"/>
      <w:jc w:val="left"/>
    </w:pPr>
    <w:rPr>
      <w:b/>
      <w:bCs/>
      <w:caps/>
      <w:sz w:val="20"/>
      <w:szCs w:val="20"/>
    </w:rPr>
  </w:style>
  <w:style w:type="paragraph" w:styleId="6">
    <w:name w:val="Normal (Web)"/>
    <w:basedOn w:val="1"/>
    <w:autoRedefine/>
    <w:qFormat/>
    <w:uiPriority w:val="0"/>
    <w:pPr>
      <w:widowControl/>
      <w:spacing w:before="100" w:beforeAutospacing="1" w:after="100" w:afterAutospacing="1"/>
      <w:jc w:val="left"/>
    </w:pPr>
    <w:rPr>
      <w:rFonts w:ascii="宋体" w:hAnsi="宋体"/>
      <w:kern w:val="0"/>
      <w:sz w:val="24"/>
    </w:rPr>
  </w:style>
  <w:style w:type="table" w:styleId="8">
    <w:name w:val="Table Grid"/>
    <w:basedOn w:val="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styleId="11">
    <w:name w:val="List Paragraph"/>
    <w:basedOn w:val="1"/>
    <w:autoRedefine/>
    <w:qFormat/>
    <w:uiPriority w:val="34"/>
    <w:pPr>
      <w:ind w:firstLine="420" w:firstLineChars="200"/>
    </w:pPr>
  </w:style>
  <w:style w:type="character" w:customStyle="1" w:styleId="12">
    <w:name w:val="页眉 字符"/>
    <w:basedOn w:val="9"/>
    <w:link w:val="4"/>
    <w:autoRedefine/>
    <w:qFormat/>
    <w:uiPriority w:val="0"/>
    <w:rPr>
      <w:kern w:val="2"/>
      <w:sz w:val="18"/>
      <w:szCs w:val="18"/>
    </w:rPr>
  </w:style>
  <w:style w:type="character" w:customStyle="1" w:styleId="13">
    <w:name w:val="页脚 字符"/>
    <w:basedOn w:val="9"/>
    <w:link w:val="3"/>
    <w:autoRedefine/>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JWC</Company>
  <Pages>7</Pages>
  <Words>3159</Words>
  <Characters>3259</Characters>
  <Lines>13</Lines>
  <Paragraphs>3</Paragraphs>
  <TotalTime>11</TotalTime>
  <ScaleCrop>false</ScaleCrop>
  <LinksUpToDate>false</LinksUpToDate>
  <CharactersWithSpaces>3358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2019-03-04T14:24:00Z</dcterms:created>
  <dc:creator>LiTao</dc:creator>
  <cp:lastModifiedBy>马浩</cp:lastModifiedBy>
  <cp:lastPrinted>2024-04-09T01:16:00Z</cp:lastPrinted>
  <dcterms:modified xsi:type="dcterms:W3CDTF">2024-10-30T07:31:52Z</dcterms:modified>
  <dc:title>附件1：理论课程撰写模板</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EE8033F8AA0F46BDA46F0D5810FC6656_13</vt:lpwstr>
  </property>
</Properties>
</file>