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附件13</w:t>
      </w:r>
    </w:p>
    <w:p>
      <w:pPr>
        <w:ind w:firstLine="720"/>
        <w:jc w:val="center"/>
        <w:rPr>
          <w:rFonts w:hint="eastAsia" w:ascii="黑体" w:hAnsi="黑体" w:eastAsia="黑体" w:cs="方正公文小标宋"/>
          <w:sz w:val="36"/>
        </w:rPr>
      </w:pPr>
      <w:r>
        <w:rPr>
          <w:rFonts w:hint="eastAsia" w:ascii="黑体" w:hAnsi="黑体" w:eastAsia="黑体" w:cs="方正公文小标宋"/>
          <w:sz w:val="36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黑体" w:hAnsi="黑体" w:eastAsia="黑体" w:cs="方正公文小标宋"/>
          <w:sz w:val="36"/>
        </w:rPr>
        <w:instrText xml:space="preserve">ADDIN CNKISM.UserStyle</w:instrText>
      </w:r>
      <w:r>
        <w:rPr>
          <w:rFonts w:hint="eastAsia" w:ascii="黑体" w:hAnsi="黑体" w:eastAsia="黑体" w:cs="方正公文小标宋"/>
          <w:sz w:val="36"/>
        </w:rPr>
        <w:fldChar w:fldCharType="end"/>
      </w:r>
      <w:r>
        <w:rPr>
          <w:rFonts w:hint="eastAsia" w:ascii="黑体" w:hAnsi="黑体" w:eastAsia="黑体" w:cs="方正公文小标宋"/>
          <w:sz w:val="36"/>
        </w:rPr>
        <w:t>《</w:t>
      </w:r>
      <w:r>
        <w:rPr>
          <w:rFonts w:hint="eastAsia" w:ascii="黑体" w:hAnsi="黑体" w:eastAsia="黑体" w:cs="宋体"/>
          <w:sz w:val="36"/>
        </w:rPr>
        <w:t>生产实习</w:t>
      </w:r>
      <w:r>
        <w:rPr>
          <w:rFonts w:hint="eastAsia" w:ascii="黑体" w:hAnsi="黑体" w:eastAsia="黑体" w:cs="方正公文小标宋"/>
          <w:sz w:val="36"/>
        </w:rPr>
        <w:t xml:space="preserve">》课程教学大纲  </w:t>
      </w:r>
    </w:p>
    <w:p>
      <w:pPr>
        <w:tabs>
          <w:tab w:val="left" w:pos="672"/>
        </w:tabs>
        <w:spacing w:line="400" w:lineRule="exact"/>
        <w:ind w:firstLine="560" w:firstLineChars="200"/>
        <w:jc w:val="center"/>
        <w:rPr>
          <w:rFonts w:hint="eastAsia" w:ascii="黑体" w:hAnsi="宋体" w:eastAsia="黑体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</w:t>
      </w:r>
      <w:r>
        <w:rPr>
          <w:rFonts w:ascii="仿宋" w:hAnsi="仿宋" w:eastAsia="仿宋" w:cs="仿宋"/>
          <w:sz w:val="28"/>
          <w:szCs w:val="28"/>
        </w:rPr>
        <w:t>实习课程</w:t>
      </w:r>
      <w:r>
        <w:rPr>
          <w:rFonts w:hint="eastAsia" w:ascii="仿宋" w:hAnsi="仿宋" w:eastAsia="仿宋" w:cs="仿宋"/>
          <w:sz w:val="28"/>
          <w:szCs w:val="28"/>
        </w:rPr>
        <w:t>·2024版）</w:t>
      </w:r>
    </w:p>
    <w:p>
      <w:pPr>
        <w:spacing w:line="360" w:lineRule="auto"/>
        <w:ind w:firstLine="482" w:firstLineChars="200"/>
        <w:rPr>
          <w:rFonts w:hint="eastAsia" w:ascii="黑体" w:hAnsi="黑体" w:eastAsia="黑体" w:cs="黑体"/>
          <w:bCs/>
          <w:color w:val="FF0000"/>
          <w:sz w:val="24"/>
        </w:rPr>
      </w:pPr>
      <w:r>
        <w:rPr>
          <w:rFonts w:hint="eastAsia" w:ascii="黑体" w:hAnsi="黑体" w:eastAsia="黑体" w:cs="黑体"/>
          <w:b/>
          <w:sz w:val="24"/>
        </w:rPr>
        <w:t>一、课程基本信息</w:t>
      </w:r>
    </w:p>
    <w:tbl>
      <w:tblPr>
        <w:tblStyle w:val="7"/>
        <w:tblW w:w="8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1701"/>
        <w:gridCol w:w="2268"/>
        <w:gridCol w:w="1701"/>
        <w:gridCol w:w="28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bookmarkStart w:id="1" w:name="_GoBack"/>
            <w:r>
              <w:rPr>
                <w:rFonts w:hint="eastAsia" w:ascii="黑体" w:hAnsi="黑体" w:eastAsia="黑体" w:cs="黑体"/>
                <w:bCs/>
                <w:sz w:val="24"/>
              </w:rPr>
              <w:t>课 程 号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default" w:ascii="黑体" w:hAnsi="黑体" w:eastAsia="黑体" w:cs="黑体"/>
                <w:sz w:val="24"/>
                <w:lang w:val="en-US" w:eastAsia="zh-CN"/>
              </w:rPr>
            </w:pPr>
            <w:r>
              <w:rPr>
                <w:rFonts w:ascii="黑体" w:hAnsi="黑体" w:eastAsia="黑体" w:cs="黑体"/>
                <w:sz w:val="24"/>
              </w:rPr>
              <w:t>B</w:t>
            </w: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917005</w: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开课单位</w:t>
            </w:r>
          </w:p>
        </w:tc>
        <w:tc>
          <w:tcPr>
            <w:tcW w:w="2835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轻工学部</w:t>
            </w:r>
          </w:p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ascii="黑体" w:hAnsi="黑体" w:eastAsia="黑体" w:cs="黑体"/>
                <w:sz w:val="24"/>
              </w:rPr>
              <w:t>轻化工程教研室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01" w:type="dxa"/>
            <w:vMerge w:val="restart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Cs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课程名称</w:t>
            </w:r>
          </w:p>
        </w:tc>
        <w:tc>
          <w:tcPr>
            <w:tcW w:w="6804" w:type="dxa"/>
            <w:gridSpan w:val="3"/>
            <w:vAlign w:val="center"/>
          </w:tcPr>
          <w:p>
            <w:pPr>
              <w:adjustRightInd w:val="0"/>
              <w:snapToGrid w:val="0"/>
              <w:ind w:firstLine="480"/>
              <w:jc w:val="left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（中文）生产实习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01" w:type="dxa"/>
            <w:vMerge w:val="continue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Cs/>
                <w:color w:val="FF0000"/>
                <w:sz w:val="24"/>
              </w:rPr>
            </w:pPr>
          </w:p>
        </w:tc>
        <w:tc>
          <w:tcPr>
            <w:tcW w:w="6804" w:type="dxa"/>
            <w:gridSpan w:val="3"/>
            <w:vAlign w:val="center"/>
          </w:tcPr>
          <w:p>
            <w:pPr>
              <w:adjustRightInd w:val="0"/>
              <w:snapToGrid w:val="0"/>
              <w:ind w:firstLine="480"/>
              <w:jc w:val="left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（英文）</w:t>
            </w:r>
            <w:r>
              <w:rPr>
                <w:rFonts w:hint="eastAsia"/>
                <w:szCs w:val="21"/>
              </w:rPr>
              <w:t>P</w:t>
            </w:r>
            <w:r>
              <w:rPr>
                <w:szCs w:val="21"/>
              </w:rPr>
              <w:t xml:space="preserve">roduction </w:t>
            </w:r>
            <w:r>
              <w:rPr>
                <w:rFonts w:hint="eastAsia"/>
                <w:szCs w:val="21"/>
              </w:rPr>
              <w:t>Practice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课程性质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必修</w: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考核类型</w:t>
            </w:r>
          </w:p>
        </w:tc>
        <w:tc>
          <w:tcPr>
            <w:tcW w:w="2835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考查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课程学分</w:t>
            </w:r>
          </w:p>
        </w:tc>
        <w:tc>
          <w:tcPr>
            <w:tcW w:w="2268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3</w: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课程学时</w:t>
            </w:r>
          </w:p>
        </w:tc>
        <w:tc>
          <w:tcPr>
            <w:tcW w:w="2835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  <w:lang w:val="en-US" w:eastAsia="zh-CN"/>
              </w:rPr>
              <w:t>3</w:t>
            </w:r>
            <w:r>
              <w:rPr>
                <w:rFonts w:hint="eastAsia" w:ascii="黑体" w:hAnsi="黑体" w:eastAsia="黑体" w:cs="黑体"/>
                <w:sz w:val="24"/>
              </w:rPr>
              <w:t>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课程类别</w:t>
            </w:r>
          </w:p>
        </w:tc>
        <w:tc>
          <w:tcPr>
            <w:tcW w:w="6799" w:type="dxa"/>
            <w:gridSpan w:val="3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ascii="黑体" w:hAnsi="黑体" w:eastAsia="黑体" w:cs="黑体"/>
                <w:bCs/>
                <w:sz w:val="24"/>
              </w:rPr>
              <w:t>集中性实践环节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先修课程</w:t>
            </w:r>
          </w:p>
        </w:tc>
        <w:tc>
          <w:tcPr>
            <w:tcW w:w="6799" w:type="dxa"/>
            <w:gridSpan w:val="3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建议修读学期为第6学期初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701" w:type="dxa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Cs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适用专业（类）</w:t>
            </w:r>
          </w:p>
        </w:tc>
        <w:tc>
          <w:tcPr>
            <w:tcW w:w="6799" w:type="dxa"/>
            <w:gridSpan w:val="3"/>
            <w:vAlign w:val="center"/>
          </w:tcPr>
          <w:p>
            <w:pPr>
              <w:adjustRightInd w:val="0"/>
              <w:snapToGrid w:val="0"/>
              <w:ind w:firstLine="480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轻化工程专业</w:t>
            </w:r>
          </w:p>
        </w:tc>
      </w:tr>
    </w:tbl>
    <w:p>
      <w:pPr>
        <w:spacing w:line="360" w:lineRule="auto"/>
        <w:ind w:firstLine="482" w:firstLineChars="200"/>
        <w:rPr>
          <w:rFonts w:hint="eastAsia" w:ascii="黑体" w:hAnsi="黑体" w:eastAsia="黑体" w:cs="黑体"/>
          <w:bCs/>
          <w:color w:val="FF0000"/>
          <w:sz w:val="24"/>
        </w:rPr>
      </w:pPr>
      <w:r>
        <w:rPr>
          <w:rFonts w:hint="eastAsia" w:ascii="黑体" w:hAnsi="黑体" w:eastAsia="黑体" w:cs="黑体"/>
          <w:b/>
          <w:sz w:val="24"/>
        </w:rPr>
        <w:t>二、课程描述及目标</w:t>
      </w:r>
    </w:p>
    <w:p>
      <w:pPr>
        <w:spacing w:line="360" w:lineRule="auto"/>
        <w:ind w:firstLine="482" w:firstLineChars="200"/>
        <w:rPr>
          <w:rFonts w:hint="eastAsia" w:ascii="仿宋" w:hAnsi="仿宋" w:eastAsia="仿宋" w:cs="仿宋_GB2312"/>
          <w:b/>
          <w:bCs/>
          <w:sz w:val="24"/>
        </w:rPr>
      </w:pPr>
      <w:r>
        <w:rPr>
          <w:rFonts w:hint="eastAsia" w:ascii="仿宋" w:hAnsi="仿宋" w:eastAsia="仿宋" w:cs="仿宋_GB2312"/>
          <w:b/>
          <w:bCs/>
          <w:sz w:val="24"/>
        </w:rPr>
        <w:t>（一）课程简介</w:t>
      </w:r>
    </w:p>
    <w:p>
      <w:pPr>
        <w:widowControl/>
        <w:ind w:firstLine="480" w:firstLineChars="200"/>
        <w:jc w:val="lef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《生产实习》是学生完成部分专业课程学习后所进行的实践环节，是培养应用型人才的重要课程内容。该实践教学环节的设置是为了使学生实地深入工厂，了解企业生产、管理和运行机制，对生产工艺参数、设备、控制和电、汽等其它生产辅助设施有具体明确的认识，增强对所学基础理论和专业知识的感性认识，加强对造纸工业在国民经济中重要地位的认识；了解如何综合运用已学过的知识，解决实际生产中的问题；了解我国纤维原料、制浆造纸技术设备现状及突出问题；认识纸制品生产方法及需求；提高理论联系实际的能力，以便下一步的理论学习和毕业后能尽快地适应科研、生产等工作的需要。生产实习是对学生综合能力的一次基本检验和提高过程，从而为后续课程学习及毕业实习等环节打下更坚实的基础。</w:t>
      </w:r>
    </w:p>
    <w:p>
      <w:pPr>
        <w:spacing w:line="360" w:lineRule="auto"/>
        <w:ind w:firstLine="482" w:firstLineChars="200"/>
        <w:rPr>
          <w:rFonts w:hint="eastAsia" w:ascii="仿宋_GB2312" w:hAnsi="仿宋_GB2312" w:eastAsia="仿宋_GB2312" w:cs="仿宋_GB2312"/>
          <w:b/>
          <w:bCs/>
          <w:sz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</w:rPr>
        <w:t>（二）教学目标</w:t>
      </w:r>
    </w:p>
    <w:p>
      <w:pPr>
        <w:ind w:firstLine="482" w:firstLineChars="200"/>
        <w:rPr>
          <w:rFonts w:hint="eastAsia"/>
          <w:szCs w:val="21"/>
        </w:rPr>
      </w:pPr>
      <w:r>
        <w:rPr>
          <w:rFonts w:hint="eastAsia"/>
          <w:b/>
          <w:bCs/>
          <w:sz w:val="24"/>
        </w:rPr>
        <w:t>课程目标1：</w:t>
      </w:r>
      <w:r>
        <w:rPr>
          <w:szCs w:val="21"/>
        </w:rPr>
        <w:t>通过实地分组考察学习，锻炼与企业技术人员、管理人员和同组之间的沟通交往能力，具有多学科背景下的人际交往能力和组织管理能力。</w:t>
      </w:r>
    </w:p>
    <w:p>
      <w:pPr>
        <w:ind w:firstLine="482" w:firstLineChars="200"/>
        <w:rPr>
          <w:rFonts w:hint="eastAsia"/>
          <w:szCs w:val="21"/>
        </w:rPr>
      </w:pPr>
      <w:r>
        <w:rPr>
          <w:rFonts w:hint="eastAsia"/>
          <w:b/>
          <w:bCs/>
          <w:sz w:val="24"/>
        </w:rPr>
        <w:t>课程目标2：</w:t>
      </w:r>
      <w:r>
        <w:rPr>
          <w:szCs w:val="21"/>
        </w:rPr>
        <w:t>了解轻化工程企业的生产及配套设施的运行，结合课堂学习，提炼知识点和经验总结，撰写实习报告</w:t>
      </w:r>
      <w:r>
        <w:rPr>
          <w:rFonts w:hint="eastAsia"/>
          <w:szCs w:val="21"/>
        </w:rPr>
        <w:t>，</w:t>
      </w:r>
      <w:r>
        <w:rPr>
          <w:szCs w:val="21"/>
        </w:rPr>
        <w:t>具有轻化工程及相关专业的报告撰写、文档设计、清晰表达或回应指令的能力。</w:t>
      </w:r>
    </w:p>
    <w:p>
      <w:pPr>
        <w:ind w:firstLine="482" w:firstLineChars="200"/>
        <w:rPr>
          <w:rFonts w:hint="eastAsia"/>
          <w:szCs w:val="21"/>
        </w:rPr>
      </w:pPr>
      <w:r>
        <w:rPr>
          <w:rFonts w:hint="eastAsia"/>
          <w:b/>
          <w:bCs/>
          <w:sz w:val="24"/>
        </w:rPr>
        <w:t>课程目标3：</w:t>
      </w:r>
      <w:r>
        <w:rPr>
          <w:szCs w:val="21"/>
        </w:rPr>
        <w:t>体会轻化工程类工厂的员工职责及岗位分配制度，了解企业文化及管理模式。理解并掌握轻化工程专业工程管理、经济决策的基本原理和方法。</w:t>
      </w:r>
    </w:p>
    <w:p>
      <w:pPr>
        <w:spacing w:line="360" w:lineRule="auto"/>
        <w:ind w:firstLine="480" w:firstLineChars="200"/>
        <w:rPr>
          <w:rFonts w:hint="eastAsia" w:ascii="黑体" w:hAnsi="黑体" w:eastAsia="黑体" w:cs="黑体"/>
          <w:bCs/>
          <w:color w:val="FF0000"/>
          <w:sz w:val="24"/>
        </w:rPr>
      </w:pPr>
      <w:r>
        <w:rPr>
          <w:rFonts w:hint="eastAsia" w:ascii="黑体" w:hAnsi="黑体" w:eastAsia="黑体" w:cs="黑体"/>
          <w:bCs/>
          <w:sz w:val="24"/>
        </w:rPr>
        <w:t>三、课程目标对毕业要求的支撑关系</w:t>
      </w:r>
    </w:p>
    <w:tbl>
      <w:tblPr>
        <w:tblStyle w:val="7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669"/>
        <w:gridCol w:w="1701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  <w:tblHeader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>
            <w:pPr>
              <w:ind w:firstLine="482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毕业要求指标点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  <w:vAlign w:val="center"/>
          </w:tcPr>
          <w:p>
            <w:pPr>
              <w:ind w:firstLine="482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课程目标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>
            <w:pPr>
              <w:ind w:firstLine="482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cs="仿宋_GB2312" w:asciiTheme="minorEastAsia" w:hAnsiTheme="minorEastAsia" w:eastAsiaTheme="minorEastAsia"/>
                <w:szCs w:val="21"/>
              </w:rPr>
            </w:pPr>
            <w:r>
              <w:rPr>
                <w:rFonts w:hint="eastAsia" w:cs="Calibri" w:asciiTheme="minorEastAsia" w:hAnsiTheme="minorEastAsia" w:eastAsiaTheme="minorEastAsia"/>
                <w:szCs w:val="21"/>
              </w:rPr>
              <w:t>9.1</w:t>
            </w:r>
            <w:r>
              <w:rPr>
                <w:rFonts w:hint="eastAsia" w:asciiTheme="minorEastAsia" w:hAnsiTheme="minorEastAsia" w:eastAsiaTheme="minorEastAsia"/>
              </w:rPr>
              <w:t>能够与其他学科的成员有效沟通，合作共事。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课程目标1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>
            <w:pPr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cs="仿宋_GB2312" w:asciiTheme="minorEastAsia" w:hAnsiTheme="minorEastAsia" w:eastAsiaTheme="minorEastAsia"/>
                <w:szCs w:val="21"/>
              </w:rPr>
            </w:pPr>
            <w:r>
              <w:rPr>
                <w:rFonts w:hint="eastAsia" w:cs="仿宋_GB2312" w:asciiTheme="minorEastAsia" w:hAnsiTheme="minorEastAsia" w:eastAsiaTheme="minorEastAsia"/>
                <w:szCs w:val="21"/>
              </w:rPr>
              <w:t>10.1</w:t>
            </w:r>
            <w:r>
              <w:rPr>
                <w:rFonts w:hint="eastAsia" w:asciiTheme="minorEastAsia" w:hAnsiTheme="minorEastAsia" w:eastAsiaTheme="minorEastAsia"/>
              </w:rPr>
              <w:t>能就专业问题，以口头、文稿、图表等方式，准确表达自觉的观点，回应质疑，理解与业界同行和社会公众交流的差异性。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课程目标2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>
            <w:pPr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cs="仿宋_GB2312" w:asciiTheme="minorEastAsia" w:hAnsiTheme="minorEastAsia" w:eastAsiaTheme="minorEastAsia"/>
                <w:szCs w:val="21"/>
              </w:rPr>
            </w:pPr>
            <w:r>
              <w:rPr>
                <w:rFonts w:hint="eastAsia" w:cs="仿宋_GB2312" w:asciiTheme="minorEastAsia" w:hAnsiTheme="minorEastAsia" w:eastAsiaTheme="minorEastAsia"/>
                <w:szCs w:val="21"/>
              </w:rPr>
              <w:t>11.1</w:t>
            </w:r>
            <w:r>
              <w:rPr>
                <w:rFonts w:hint="eastAsia" w:asciiTheme="minorEastAsia" w:hAnsiTheme="minorEastAsia" w:eastAsiaTheme="minorEastAsia"/>
              </w:rPr>
              <w:t>掌握工程项目中涉及的管理与经济决策方法；了解工程及产品全周期、全流程的成本构成，理解其中涉及的工程管理与经济决策问题。</w:t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课程目标3</w:t>
            </w:r>
          </w:p>
        </w:tc>
        <w:tc>
          <w:tcPr>
            <w:tcW w:w="1134" w:type="dxa"/>
            <w:tcMar>
              <w:top w:w="57" w:type="dxa"/>
              <w:bottom w:w="57" w:type="dxa"/>
            </w:tcMar>
            <w:vAlign w:val="center"/>
          </w:tcPr>
          <w:p>
            <w:pPr>
              <w:ind w:firstLine="480"/>
              <w:jc w:val="center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0.4</w:t>
            </w:r>
          </w:p>
        </w:tc>
      </w:tr>
    </w:tbl>
    <w:p>
      <w:pPr>
        <w:spacing w:line="360" w:lineRule="auto"/>
        <w:ind w:firstLine="482" w:firstLineChars="200"/>
        <w:rPr>
          <w:rFonts w:hint="eastAsia" w:ascii="黑体" w:hAnsi="黑体" w:eastAsia="黑体" w:cs="黑体"/>
          <w:bCs/>
          <w:color w:val="FF0000"/>
          <w:sz w:val="24"/>
        </w:rPr>
      </w:pPr>
      <w:r>
        <w:rPr>
          <w:rFonts w:hint="eastAsia" w:ascii="黑体" w:hAnsi="黑体" w:eastAsia="黑体" w:cs="黑体"/>
          <w:b/>
          <w:sz w:val="24"/>
        </w:rPr>
        <w:t>四、教学方式与方法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</w:rPr>
      </w:pPr>
      <w:bookmarkStart w:id="0" w:name="_Hlk5205911"/>
      <w:r>
        <w:rPr>
          <w:rFonts w:hint="eastAsia" w:ascii="仿宋" w:hAnsi="仿宋" w:eastAsia="仿宋"/>
          <w:sz w:val="24"/>
        </w:rPr>
        <w:t>（1）课堂讲授：在生产实习的工厂参观之前，开展4</w:t>
      </w:r>
      <w:r>
        <w:rPr>
          <w:rFonts w:ascii="仿宋" w:hAnsi="仿宋" w:eastAsia="仿宋"/>
          <w:sz w:val="24"/>
        </w:rPr>
        <w:t>-6</w:t>
      </w:r>
      <w:r>
        <w:rPr>
          <w:rFonts w:hint="eastAsia" w:ascii="仿宋" w:hAnsi="仿宋" w:eastAsia="仿宋"/>
          <w:sz w:val="24"/>
        </w:rPr>
        <w:t>课时的理论教学，针对制浆造纸行业常见的制浆、抄纸工艺，介绍流程。通过实习前的课堂教学，使学生掌握认识实习的意义，在实习中应牢固树立安全意识，注意人身安全和生产安全，树立团队意识和纪律意识。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（2）学生自学：课堂教学后，安排作业，让学生进行针对性的工艺和技术的自学，结合要参观的工程，开展预习，以预习笔记的形式呈现作业。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（3）现场学习：学习并掌握企业生产工艺、过程、设备。通过现场企业技术人员讲解、现场参观学习、课后文献检索，提升教学效果。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（4）撰写报告：全面、系统的总结实习收获与心得体会，针对实习中发现的问题与教师、企业工程师及同学之间进行分析讨论，得出合理结论，撰写实习报告。</w:t>
      </w:r>
    </w:p>
    <w:p>
      <w:pPr>
        <w:spacing w:line="360" w:lineRule="auto"/>
        <w:ind w:firstLine="482" w:firstLineChars="200"/>
        <w:rPr>
          <w:rFonts w:hint="eastAsia" w:ascii="黑体" w:hAnsi="黑体" w:eastAsia="黑体" w:cs="黑体"/>
          <w:bCs/>
          <w:color w:val="FF0000"/>
          <w:sz w:val="24"/>
        </w:rPr>
      </w:pPr>
      <w:r>
        <w:rPr>
          <w:rFonts w:hint="eastAsia" w:ascii="黑体" w:hAnsi="黑体" w:eastAsia="黑体" w:cs="黑体"/>
          <w:b/>
          <w:sz w:val="24"/>
        </w:rPr>
        <w:t>五、教学重点与难点</w:t>
      </w:r>
    </w:p>
    <w:p>
      <w:pPr>
        <w:spacing w:line="360" w:lineRule="auto"/>
        <w:ind w:firstLine="482" w:firstLineChars="200"/>
        <w:rPr>
          <w:rFonts w:hint="eastAsia"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</w:rPr>
        <w:t>（一）教学重点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使学生了解我国纤维原料、制浆造纸技术现状，认识纸制品生产方法，为专业课学习打好基础，同时加强对造纸工业在国民经济中重要地位的认识。</w:t>
      </w:r>
    </w:p>
    <w:p>
      <w:pPr>
        <w:spacing w:line="360" w:lineRule="auto"/>
        <w:ind w:firstLine="482" w:firstLineChars="200"/>
        <w:rPr>
          <w:rFonts w:hint="eastAsia"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</w:rPr>
        <w:t>（二）教学难点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利用数学、自然科学和工程科学的语言工具解释制浆造纸的过程和现象。通过认识实习，使学生理解工程师的职业性质、认识自身的社会责任和担当。</w:t>
      </w:r>
    </w:p>
    <w:bookmarkEnd w:id="0"/>
    <w:p>
      <w:pPr>
        <w:spacing w:line="360" w:lineRule="auto"/>
        <w:ind w:firstLine="482" w:firstLineChars="200"/>
        <w:rPr>
          <w:rFonts w:hint="eastAsia" w:ascii="黑体" w:hAnsi="黑体" w:eastAsia="黑体" w:cs="黑体"/>
          <w:b/>
          <w:color w:val="FF0000"/>
          <w:sz w:val="24"/>
        </w:rPr>
      </w:pPr>
      <w:r>
        <w:rPr>
          <w:rFonts w:hint="eastAsia" w:ascii="黑体" w:hAnsi="黑体" w:eastAsia="黑体" w:cs="黑体"/>
          <w:b/>
          <w:sz w:val="24"/>
        </w:rPr>
        <w:t>六、教学内容、基本要求与学时分配</w:t>
      </w:r>
    </w:p>
    <w:tbl>
      <w:tblPr>
        <w:tblStyle w:val="7"/>
        <w:tblW w:w="8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562"/>
        <w:gridCol w:w="2166"/>
        <w:gridCol w:w="2400"/>
        <w:gridCol w:w="821"/>
        <w:gridCol w:w="975"/>
        <w:gridCol w:w="15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tblHeader/>
          <w:jc w:val="center"/>
        </w:trPr>
        <w:tc>
          <w:tcPr>
            <w:tcW w:w="562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  <w:t>序号</w:t>
            </w:r>
          </w:p>
        </w:tc>
        <w:tc>
          <w:tcPr>
            <w:tcW w:w="2166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  <w:t>教学内容</w:t>
            </w:r>
          </w:p>
        </w:tc>
        <w:tc>
          <w:tcPr>
            <w:tcW w:w="2400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  <w:t>基本要求</w:t>
            </w:r>
          </w:p>
        </w:tc>
        <w:tc>
          <w:tcPr>
            <w:tcW w:w="821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  <w:t>学时（天/周）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  <w:t>教学</w:t>
            </w:r>
          </w:p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  <w:t>方式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  <w:t>对应课程目标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562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1</w:t>
            </w:r>
          </w:p>
        </w:tc>
        <w:tc>
          <w:tcPr>
            <w:tcW w:w="2166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实习动员：确定实习学生名单；安全教育及生产车间注意事项；集体组织和纪律规定。</w:t>
            </w:r>
          </w:p>
        </w:tc>
        <w:tc>
          <w:tcPr>
            <w:tcW w:w="2400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通过实习动员，使学生掌握认识实习的意义，在实习中应牢固树立安全意识，注意人身安全和生产安全，树立团队意识和纪律意识；通过分组协作，查阅文献资料，增进沟通交往能力。</w:t>
            </w:r>
          </w:p>
        </w:tc>
        <w:tc>
          <w:tcPr>
            <w:tcW w:w="82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jc w:val="left"/>
              <w:rPr>
                <w:rFonts w:hint="default" w:ascii="仿宋_GB2312" w:hAnsi="仿宋_GB2312" w:eastAsia="仿宋_GB2312" w:cs="仿宋_GB231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lang w:val="en-US" w:eastAsia="zh-CN"/>
              </w:rPr>
              <w:t>32学时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理论授课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课程目标1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562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2</w:t>
            </w:r>
          </w:p>
        </w:tc>
        <w:tc>
          <w:tcPr>
            <w:tcW w:w="2166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企业参观学习：学习并掌握企业生产工艺、过程、设备</w:t>
            </w:r>
          </w:p>
        </w:tc>
        <w:tc>
          <w:tcPr>
            <w:tcW w:w="2400" w:type="dxa"/>
            <w:tcMar>
              <w:top w:w="57" w:type="dxa"/>
              <w:bottom w:w="57" w:type="dxa"/>
            </w:tcMar>
            <w:vAlign w:val="center"/>
          </w:tcPr>
          <w:p>
            <w:pPr>
              <w:tabs>
                <w:tab w:val="left" w:pos="1060"/>
              </w:tabs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(1)了解原料备料和结构。</w:t>
            </w:r>
          </w:p>
          <w:p>
            <w:pPr>
              <w:tabs>
                <w:tab w:val="left" w:pos="1060"/>
              </w:tabs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(2)熟悉并掌握制浆技术，包括蒸煮工艺和设备，成浆质量控制，洗涤、筛选、净化的工艺、设备；漂白技术及设备；纸浆的贮存。</w:t>
            </w:r>
          </w:p>
          <w:p>
            <w:pPr>
              <w:tabs>
                <w:tab w:val="left" w:pos="1060"/>
              </w:tabs>
              <w:spacing w:line="360" w:lineRule="exact"/>
              <w:rPr>
                <w:szCs w:val="21"/>
              </w:rPr>
            </w:pPr>
            <w:r>
              <w:rPr>
                <w:szCs w:val="21"/>
              </w:rPr>
              <w:t>(3)掌握纸浆的打浆设备及打浆质量控制；根据纸种要求添加化学助剂的情况；纸机的网部、压榨部、烘干部及压光卷曲部等设备及质量控制。</w:t>
            </w:r>
          </w:p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(4)了解相关原料要求，废水处理、电、汽供给等相关技术。</w:t>
            </w:r>
          </w:p>
        </w:tc>
        <w:tc>
          <w:tcPr>
            <w:tcW w:w="82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jc w:val="left"/>
              <w:rPr>
                <w:rFonts w:hint="default" w:ascii="仿宋_GB2312" w:hAnsi="仿宋_GB2312" w:eastAsia="仿宋_GB2312" w:cs="仿宋_GB2312"/>
                <w:szCs w:val="21"/>
                <w:lang w:val="en-US" w:eastAsia="zh-CN"/>
              </w:rPr>
            </w:pPr>
            <w:r>
              <w:rPr>
                <w:rFonts w:hint="eastAsia" w:ascii="Calibri" w:hAnsi="Calibri" w:eastAsia="仿宋_GB2312" w:cs="Calibri"/>
                <w:szCs w:val="21"/>
                <w:lang w:val="en-US" w:eastAsia="zh-CN"/>
              </w:rPr>
              <w:t>64学时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企业技术人员讲解、现场参观学习、课后文献检索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课程目标2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562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3</w:t>
            </w:r>
          </w:p>
        </w:tc>
        <w:tc>
          <w:tcPr>
            <w:tcW w:w="2166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实习笔记与报告</w:t>
            </w:r>
          </w:p>
        </w:tc>
        <w:tc>
          <w:tcPr>
            <w:tcW w:w="2400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全面、系统的总结实习收获与心得体会，针对实习中发现的问题与教师、企业工程师及同学之间进行分析讨论，得出合理结论，撰写实习报告</w:t>
            </w:r>
          </w:p>
        </w:tc>
        <w:tc>
          <w:tcPr>
            <w:tcW w:w="82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210" w:firstLineChars="100"/>
              <w:jc w:val="left"/>
              <w:rPr>
                <w:rFonts w:hint="default" w:ascii="仿宋_GB2312" w:hAnsi="仿宋_GB2312" w:eastAsia="仿宋_GB2312" w:cs="仿宋_GB2312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  <w:lang w:val="en-US" w:eastAsia="zh-CN"/>
              </w:rPr>
              <w:t>24学时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szCs w:val="21"/>
              </w:rPr>
              <w:t>理论授课、课后讨论与答疑</w:t>
            </w:r>
          </w:p>
        </w:tc>
        <w:tc>
          <w:tcPr>
            <w:tcW w:w="1581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Cs w:val="21"/>
              </w:rPr>
              <w:t>课程目标3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5128" w:type="dxa"/>
            <w:gridSpan w:val="3"/>
            <w:tcMar>
              <w:top w:w="57" w:type="dxa"/>
              <w:bottom w:w="57" w:type="dxa"/>
            </w:tcMar>
            <w:vAlign w:val="center"/>
          </w:tcPr>
          <w:p>
            <w:pPr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napToGrid w:val="0"/>
                <w:kern w:val="0"/>
                <w:sz w:val="24"/>
              </w:rPr>
              <w:t>合  计</w:t>
            </w:r>
          </w:p>
        </w:tc>
        <w:tc>
          <w:tcPr>
            <w:tcW w:w="821" w:type="dxa"/>
            <w:tcMar>
              <w:top w:w="57" w:type="dxa"/>
              <w:bottom w:w="57" w:type="dxa"/>
            </w:tcMar>
            <w:vAlign w:val="center"/>
          </w:tcPr>
          <w:p>
            <w:pPr>
              <w:ind w:firstLine="480"/>
              <w:jc w:val="center"/>
              <w:rPr>
                <w:rFonts w:hint="default" w:ascii="黑体" w:hAnsi="黑体" w:eastAsia="黑体" w:cs="黑体"/>
                <w:snapToGrid w:val="0"/>
                <w:kern w:val="0"/>
                <w:sz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napToGrid w:val="0"/>
                <w:kern w:val="0"/>
                <w:sz w:val="24"/>
                <w:lang w:val="en-US" w:eastAsia="zh-CN"/>
              </w:rPr>
              <w:t>120学时</w:t>
            </w:r>
          </w:p>
        </w:tc>
        <w:tc>
          <w:tcPr>
            <w:tcW w:w="975" w:type="dxa"/>
            <w:tcMar>
              <w:top w:w="57" w:type="dxa"/>
              <w:bottom w:w="57" w:type="dxa"/>
            </w:tcMar>
            <w:vAlign w:val="center"/>
          </w:tcPr>
          <w:p>
            <w:pPr>
              <w:ind w:firstLine="480"/>
              <w:jc w:val="center"/>
              <w:rPr>
                <w:rFonts w:hint="eastAsia" w:ascii="黑体" w:hAnsi="黑体" w:eastAsia="黑体" w:cs="黑体"/>
                <w:snapToGrid w:val="0"/>
                <w:kern w:val="0"/>
                <w:sz w:val="24"/>
              </w:rPr>
            </w:pPr>
          </w:p>
        </w:tc>
        <w:tc>
          <w:tcPr>
            <w:tcW w:w="1581" w:type="dxa"/>
            <w:vAlign w:val="center"/>
          </w:tcPr>
          <w:p>
            <w:pPr>
              <w:ind w:firstLine="480"/>
              <w:jc w:val="center"/>
              <w:rPr>
                <w:rFonts w:hint="eastAsia" w:ascii="黑体" w:hAnsi="黑体" w:eastAsia="黑体" w:cs="黑体"/>
                <w:snapToGrid w:val="0"/>
                <w:kern w:val="0"/>
                <w:sz w:val="24"/>
              </w:rPr>
            </w:pPr>
          </w:p>
        </w:tc>
      </w:tr>
    </w:tbl>
    <w:p>
      <w:pPr>
        <w:spacing w:line="360" w:lineRule="auto"/>
        <w:ind w:firstLine="482" w:firstLineChars="200"/>
        <w:rPr>
          <w:rFonts w:ascii="黑体" w:hAnsi="黑体" w:eastAsia="黑体" w:cs="黑体"/>
          <w:b/>
          <w:sz w:val="24"/>
        </w:rPr>
      </w:pPr>
      <w:r>
        <w:rPr>
          <w:rFonts w:hint="eastAsia" w:ascii="黑体" w:hAnsi="黑体" w:eastAsia="黑体" w:cs="黑体"/>
          <w:b/>
          <w:sz w:val="24"/>
        </w:rPr>
        <w:t>七、实习或</w:t>
      </w:r>
      <w:r>
        <w:rPr>
          <w:rFonts w:ascii="黑体" w:hAnsi="黑体" w:eastAsia="黑体" w:cs="黑体"/>
          <w:b/>
          <w:sz w:val="24"/>
        </w:rPr>
        <w:t>课程设计</w:t>
      </w:r>
      <w:r>
        <w:rPr>
          <w:rFonts w:hint="eastAsia" w:ascii="黑体" w:hAnsi="黑体" w:eastAsia="黑体" w:cs="黑体"/>
          <w:b/>
          <w:sz w:val="24"/>
        </w:rPr>
        <w:t>成果呈现要求（黑体，小四号）</w:t>
      </w:r>
    </w:p>
    <w:p>
      <w:pPr>
        <w:tabs>
          <w:tab w:val="left" w:pos="672"/>
        </w:tabs>
        <w:spacing w:line="360" w:lineRule="auto"/>
        <w:ind w:firstLine="480" w:firstLineChars="200"/>
        <w:rPr>
          <w:rFonts w:hint="eastAsia" w:ascii="仿宋" w:hAnsi="仿宋" w:eastAsia="仿宋" w:cs="宋体"/>
          <w:kern w:val="0"/>
          <w:szCs w:val="21"/>
        </w:rPr>
      </w:pPr>
      <w:r>
        <w:rPr>
          <w:rFonts w:hint="eastAsia" w:ascii="仿宋" w:hAnsi="仿宋" w:eastAsia="仿宋" w:cs="宋体"/>
          <w:kern w:val="0"/>
          <w:sz w:val="24"/>
          <w:szCs w:val="21"/>
        </w:rPr>
        <w:t>课程考核包括预习笔记、实习周志、实习报告三项。要求图文并茂，预习笔记不少于3</w:t>
      </w:r>
      <w:r>
        <w:rPr>
          <w:rFonts w:ascii="仿宋" w:hAnsi="仿宋" w:eastAsia="仿宋" w:cs="宋体"/>
          <w:kern w:val="0"/>
          <w:sz w:val="24"/>
          <w:szCs w:val="21"/>
        </w:rPr>
        <w:t>000</w:t>
      </w:r>
      <w:r>
        <w:rPr>
          <w:rFonts w:hint="eastAsia" w:ascii="仿宋" w:hAnsi="仿宋" w:eastAsia="仿宋" w:cs="宋体"/>
          <w:kern w:val="0"/>
          <w:sz w:val="24"/>
          <w:szCs w:val="21"/>
        </w:rPr>
        <w:t>字，实习周志不少于2篇，实习报告不少于3</w:t>
      </w:r>
      <w:r>
        <w:rPr>
          <w:rFonts w:ascii="仿宋" w:hAnsi="仿宋" w:eastAsia="仿宋" w:cs="宋体"/>
          <w:kern w:val="0"/>
          <w:sz w:val="24"/>
          <w:szCs w:val="21"/>
        </w:rPr>
        <w:t>000</w:t>
      </w:r>
      <w:r>
        <w:rPr>
          <w:rFonts w:hint="eastAsia" w:ascii="仿宋" w:hAnsi="仿宋" w:eastAsia="仿宋" w:cs="宋体"/>
          <w:kern w:val="0"/>
          <w:sz w:val="24"/>
          <w:szCs w:val="21"/>
        </w:rPr>
        <w:t>字。</w:t>
      </w:r>
    </w:p>
    <w:p>
      <w:pPr>
        <w:spacing w:line="360" w:lineRule="auto"/>
        <w:ind w:firstLine="482" w:firstLineChars="200"/>
        <w:rPr>
          <w:rFonts w:hint="eastAsia" w:ascii="黑体" w:hAnsi="黑体" w:eastAsia="黑体" w:cs="黑体"/>
          <w:b/>
          <w:sz w:val="24"/>
        </w:rPr>
      </w:pPr>
    </w:p>
    <w:p>
      <w:pPr>
        <w:spacing w:line="360" w:lineRule="auto"/>
        <w:ind w:firstLine="482" w:firstLineChars="200"/>
        <w:rPr>
          <w:rFonts w:hint="eastAsia" w:ascii="黑体" w:hAnsi="黑体" w:eastAsia="黑体" w:cs="黑体"/>
          <w:bCs/>
          <w:color w:val="FF0000"/>
          <w:sz w:val="24"/>
        </w:rPr>
      </w:pPr>
      <w:r>
        <w:rPr>
          <w:rFonts w:hint="eastAsia" w:ascii="黑体" w:hAnsi="黑体" w:eastAsia="黑体" w:cs="黑体"/>
          <w:b/>
          <w:sz w:val="24"/>
        </w:rPr>
        <w:t>八、学业评价和课程考核</w:t>
      </w:r>
    </w:p>
    <w:p>
      <w:pPr>
        <w:tabs>
          <w:tab w:val="left" w:pos="672"/>
        </w:tabs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（一）考核类型：</w:t>
      </w:r>
      <w:r>
        <w:rPr>
          <w:rFonts w:ascii="Segoe UI Symbol" w:hAnsi="Segoe UI Symbol" w:eastAsia="仿宋" w:cs="Segoe UI Symbol"/>
          <w:sz w:val="24"/>
        </w:rPr>
        <w:t>☑</w:t>
      </w:r>
      <w:r>
        <w:rPr>
          <w:rFonts w:hint="eastAsia" w:ascii="仿宋_GB2312" w:hAnsi="仿宋_GB2312" w:eastAsia="仿宋_GB2312" w:cs="仿宋_GB2312"/>
          <w:sz w:val="24"/>
        </w:rPr>
        <w:t>考查</w:t>
      </w:r>
    </w:p>
    <w:p>
      <w:pPr>
        <w:tabs>
          <w:tab w:val="left" w:pos="672"/>
        </w:tabs>
        <w:spacing w:line="360" w:lineRule="auto"/>
        <w:ind w:firstLine="480" w:firstLineChars="200"/>
        <w:rPr>
          <w:rFonts w:hint="eastAsia" w:ascii="仿宋" w:hAnsi="仿宋" w:eastAsia="仿宋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（二）考核方式：</w:t>
      </w:r>
      <w:r>
        <w:rPr>
          <w:rFonts w:ascii="Segoe UI Symbol" w:hAnsi="Segoe UI Symbol" w:eastAsia="仿宋" w:cs="Segoe UI Symbol"/>
          <w:sz w:val="24"/>
        </w:rPr>
        <w:t>☑</w:t>
      </w:r>
      <w:r>
        <w:rPr>
          <w:rFonts w:hint="eastAsia" w:ascii="仿宋" w:hAnsi="仿宋" w:eastAsia="仿宋" w:cs="仿宋_GB2312"/>
          <w:sz w:val="24"/>
        </w:rPr>
        <w:t>预习</w:t>
      </w:r>
      <w:r>
        <w:rPr>
          <w:rFonts w:hint="eastAsia" w:ascii="仿宋" w:hAnsi="仿宋" w:eastAsia="仿宋" w:cs="微软雅黑"/>
          <w:sz w:val="24"/>
        </w:rPr>
        <w:t>笔记</w:t>
      </w:r>
      <w:r>
        <w:rPr>
          <w:rFonts w:hint="eastAsia" w:ascii="仿宋" w:hAnsi="仿宋" w:eastAsia="仿宋" w:cs="仿宋_GB2312"/>
          <w:sz w:val="24"/>
        </w:rPr>
        <w:t xml:space="preserve">  </w:t>
      </w:r>
      <w:r>
        <w:rPr>
          <w:rFonts w:ascii="仿宋" w:hAnsi="仿宋" w:eastAsia="仿宋" w:cs="仿宋_GB2312"/>
          <w:sz w:val="24"/>
        </w:rPr>
        <w:t xml:space="preserve">  </w:t>
      </w:r>
      <w:r>
        <w:rPr>
          <w:rFonts w:ascii="Segoe UI Symbol" w:hAnsi="Segoe UI Symbol" w:eastAsia="仿宋" w:cs="Segoe UI Symbol"/>
          <w:sz w:val="24"/>
        </w:rPr>
        <w:t>☑</w:t>
      </w:r>
      <w:r>
        <w:rPr>
          <w:rFonts w:hint="eastAsia" w:ascii="仿宋" w:hAnsi="仿宋" w:eastAsia="仿宋" w:cs="仿宋_GB2312"/>
          <w:sz w:val="24"/>
        </w:rPr>
        <w:t>实习</w:t>
      </w:r>
      <w:r>
        <w:rPr>
          <w:rFonts w:hint="eastAsia" w:ascii="仿宋" w:hAnsi="仿宋" w:eastAsia="仿宋" w:cs="微软雅黑"/>
          <w:sz w:val="24"/>
        </w:rPr>
        <w:t>周志</w:t>
      </w:r>
    </w:p>
    <w:p>
      <w:pPr>
        <w:tabs>
          <w:tab w:val="left" w:pos="672"/>
        </w:tabs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 xml:space="preserve">                </w:t>
      </w:r>
      <w:r>
        <w:rPr>
          <w:rFonts w:ascii="Segoe UI Symbol" w:hAnsi="Segoe UI Symbol" w:eastAsia="仿宋" w:cs="Segoe UI Symbol"/>
          <w:sz w:val="24"/>
        </w:rPr>
        <w:t>☑</w:t>
      </w:r>
      <w:r>
        <w:rPr>
          <w:rFonts w:hint="eastAsia" w:ascii="仿宋" w:hAnsi="仿宋" w:eastAsia="仿宋" w:cs="仿宋_GB2312"/>
          <w:sz w:val="24"/>
        </w:rPr>
        <w:t xml:space="preserve">实习报告 </w:t>
      </w:r>
      <w:r>
        <w:rPr>
          <w:rFonts w:hint="eastAsia" w:ascii="仿宋_GB2312" w:hAnsi="仿宋_GB2312" w:eastAsia="仿宋_GB2312" w:cs="仿宋_GB2312"/>
          <w:sz w:val="24"/>
        </w:rPr>
        <w:t xml:space="preserve">      </w:t>
      </w:r>
    </w:p>
    <w:p>
      <w:pPr>
        <w:tabs>
          <w:tab w:val="left" w:pos="672"/>
        </w:tabs>
        <w:spacing w:line="400" w:lineRule="exact"/>
        <w:ind w:firstLine="480" w:firstLineChars="200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（三）考核环节和考核方式对课程目标的支撑：</w:t>
      </w:r>
    </w:p>
    <w:p>
      <w:pPr>
        <w:tabs>
          <w:tab w:val="left" w:pos="672"/>
        </w:tabs>
        <w:spacing w:line="400" w:lineRule="exact"/>
        <w:ind w:firstLine="480" w:firstLineChars="200"/>
        <w:rPr>
          <w:sz w:val="24"/>
        </w:rPr>
      </w:pPr>
      <w:r>
        <w:rPr>
          <w:rFonts w:hint="eastAsia" w:ascii="宋体" w:hAnsi="宋体"/>
          <w:sz w:val="24"/>
        </w:rPr>
        <w:t xml:space="preserve">...... </w:t>
      </w:r>
    </w:p>
    <w:tbl>
      <w:tblPr>
        <w:tblStyle w:val="7"/>
        <w:tblW w:w="850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59"/>
        <w:gridCol w:w="1800"/>
        <w:gridCol w:w="2454"/>
        <w:gridCol w:w="1810"/>
        <w:gridCol w:w="1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tblHeader/>
          <w:jc w:val="center"/>
        </w:trPr>
        <w:tc>
          <w:tcPr>
            <w:tcW w:w="859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rPr>
                <w:rFonts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考核</w:t>
            </w:r>
          </w:p>
          <w:p>
            <w:pPr>
              <w:snapToGrid w:val="0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环节</w:t>
            </w:r>
          </w:p>
        </w:tc>
        <w:tc>
          <w:tcPr>
            <w:tcW w:w="1800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考核内容</w:t>
            </w:r>
          </w:p>
        </w:tc>
        <w:tc>
          <w:tcPr>
            <w:tcW w:w="2454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考核/评价方式</w:t>
            </w:r>
          </w:p>
        </w:tc>
        <w:tc>
          <w:tcPr>
            <w:tcW w:w="1810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建议分值</w:t>
            </w:r>
          </w:p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（百分比）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对应课程目标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859" w:type="dxa"/>
            <w:vMerge w:val="restart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过程</w:t>
            </w:r>
          </w:p>
          <w:p>
            <w:pPr>
              <w:snapToGrid w:val="0"/>
              <w:rPr>
                <w:rFonts w:hint="eastAsia" w:ascii="黑体" w:hAnsi="黑体" w:eastAsia="黑体" w:cs="黑体"/>
                <w:b/>
                <w:snapToGrid w:val="0"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考核</w:t>
            </w:r>
          </w:p>
        </w:tc>
        <w:tc>
          <w:tcPr>
            <w:tcW w:w="1800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exac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教学内容1</w:t>
            </w:r>
          </w:p>
          <w:p>
            <w:pPr>
              <w:spacing w:line="360" w:lineRule="auto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/>
                <w:sz w:val="24"/>
              </w:rPr>
              <w:t>（实习准备）</w:t>
            </w:r>
          </w:p>
        </w:tc>
        <w:tc>
          <w:tcPr>
            <w:tcW w:w="2454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预习笔记</w:t>
            </w:r>
          </w:p>
        </w:tc>
        <w:tc>
          <w:tcPr>
            <w:tcW w:w="1810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20"/>
              <w:rPr>
                <w:rFonts w:hint="eastAsia" w:ascii="宋体" w:hAnsi="宋体"/>
                <w:color w:val="FF0000"/>
                <w:szCs w:val="21"/>
                <w:highlight w:val="yellow"/>
              </w:rPr>
            </w:pPr>
            <w:r>
              <w:rPr>
                <w:rFonts w:hint="eastAsia" w:ascii="仿宋" w:hAnsi="仿宋" w:eastAsia="仿宋"/>
                <w:sz w:val="24"/>
              </w:rPr>
              <w:t>20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 w:cs="仿宋_GB2312"/>
                <w:sz w:val="24"/>
              </w:rPr>
              <w:t>课程目标</w:t>
            </w:r>
            <w:r>
              <w:rPr>
                <w:rFonts w:ascii="仿宋" w:hAnsi="仿宋" w:eastAsia="仿宋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516" w:hRule="atLeast"/>
          <w:jc w:val="center"/>
        </w:trPr>
        <w:tc>
          <w:tcPr>
            <w:tcW w:w="859" w:type="dxa"/>
            <w:vMerge w:val="continue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sz w:val="24"/>
              </w:rPr>
            </w:pPr>
          </w:p>
        </w:tc>
        <w:tc>
          <w:tcPr>
            <w:tcW w:w="1800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exac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教学内容2</w:t>
            </w:r>
          </w:p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/>
                <w:sz w:val="24"/>
              </w:rPr>
              <w:t>（企业实习）</w:t>
            </w:r>
          </w:p>
        </w:tc>
        <w:tc>
          <w:tcPr>
            <w:tcW w:w="2454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实习周志</w:t>
            </w:r>
          </w:p>
        </w:tc>
        <w:tc>
          <w:tcPr>
            <w:tcW w:w="1810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20"/>
              <w:rPr>
                <w:rFonts w:hint="eastAsia" w:ascii="宋体" w:hAnsi="宋体"/>
                <w:color w:val="FF0000"/>
                <w:szCs w:val="21"/>
                <w:highlight w:val="yellow"/>
              </w:rPr>
            </w:pPr>
            <w:r>
              <w:rPr>
                <w:rFonts w:hint="eastAsia" w:ascii="仿宋" w:hAnsi="仿宋" w:eastAsia="仿宋"/>
                <w:sz w:val="24"/>
              </w:rPr>
              <w:t>40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 w:cs="仿宋_GB2312"/>
                <w:sz w:val="24"/>
              </w:rPr>
              <w:t>课程目标2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859" w:type="dxa"/>
            <w:vMerge w:val="continue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82"/>
              <w:jc w:val="center"/>
              <w:rPr>
                <w:rFonts w:hint="eastAsia" w:ascii="黑体" w:hAnsi="黑体" w:eastAsia="黑体" w:cs="黑体"/>
                <w:b/>
                <w:snapToGrid w:val="0"/>
                <w:sz w:val="24"/>
              </w:rPr>
            </w:pPr>
          </w:p>
        </w:tc>
        <w:tc>
          <w:tcPr>
            <w:tcW w:w="1800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教学内容3</w:t>
            </w:r>
          </w:p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/>
                <w:sz w:val="24"/>
              </w:rPr>
              <w:t>（实习报告撰写）</w:t>
            </w:r>
          </w:p>
        </w:tc>
        <w:tc>
          <w:tcPr>
            <w:tcW w:w="2454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ind w:firstLine="480" w:firstLineChars="200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实习报告</w:t>
            </w:r>
          </w:p>
        </w:tc>
        <w:tc>
          <w:tcPr>
            <w:tcW w:w="1810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20"/>
              <w:rPr>
                <w:rFonts w:hint="eastAsia" w:asciiTheme="minorEastAsia" w:hAnsiTheme="minorEastAsia" w:eastAsiaTheme="minorEastAsia"/>
                <w:color w:val="FF0000"/>
                <w:highlight w:val="yellow"/>
              </w:rPr>
            </w:pPr>
            <w:r>
              <w:rPr>
                <w:rFonts w:hint="eastAsia" w:ascii="仿宋" w:hAnsi="仿宋" w:eastAsia="仿宋"/>
                <w:sz w:val="24"/>
              </w:rPr>
              <w:t>40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 w:cs="仿宋_GB2312"/>
                <w:sz w:val="24"/>
              </w:rPr>
              <w:t>课程目标3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28" w:type="dxa"/>
            <w:left w:w="28" w:type="dxa"/>
            <w:bottom w:w="28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859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成果</w:t>
            </w:r>
          </w:p>
          <w:p>
            <w:pPr>
              <w:snapToGrid w:val="0"/>
              <w:rPr>
                <w:rFonts w:hint="eastAsia" w:ascii="黑体" w:hAnsi="黑体" w:eastAsia="黑体" w:cs="黑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/>
                <w:sz w:val="24"/>
              </w:rPr>
              <w:t>考核</w:t>
            </w:r>
          </w:p>
        </w:tc>
        <w:tc>
          <w:tcPr>
            <w:tcW w:w="1800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rPr>
                <w:rFonts w:hint="eastAsia" w:ascii="仿宋" w:hAnsi="仿宋" w:eastAsia="仿宋" w:cs="黑体"/>
                <w:sz w:val="24"/>
              </w:rPr>
            </w:pPr>
            <w:r>
              <w:rPr>
                <w:rFonts w:hint="eastAsia" w:ascii="仿宋" w:hAnsi="仿宋" w:eastAsia="仿宋" w:cs="黑体"/>
                <w:sz w:val="24"/>
              </w:rPr>
              <w:t>预习笔记</w:t>
            </w:r>
          </w:p>
          <w:p>
            <w:pPr>
              <w:snapToGrid w:val="0"/>
              <w:rPr>
                <w:rFonts w:hint="eastAsia" w:ascii="仿宋" w:hAnsi="仿宋" w:eastAsia="仿宋" w:cs="黑体"/>
                <w:sz w:val="24"/>
              </w:rPr>
            </w:pPr>
            <w:r>
              <w:rPr>
                <w:rFonts w:hint="eastAsia" w:ascii="仿宋" w:hAnsi="仿宋" w:eastAsia="仿宋" w:cs="黑体"/>
                <w:sz w:val="24"/>
              </w:rPr>
              <w:t>实习周志</w:t>
            </w:r>
          </w:p>
          <w:p>
            <w:pPr>
              <w:snapToGrid w:val="0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仿宋" w:hAnsi="仿宋" w:eastAsia="仿宋" w:cs="黑体"/>
                <w:sz w:val="24"/>
              </w:rPr>
              <w:t>实习报告</w:t>
            </w:r>
          </w:p>
        </w:tc>
        <w:tc>
          <w:tcPr>
            <w:tcW w:w="2454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仿宋" w:hAnsi="仿宋" w:eastAsia="仿宋"/>
                <w:sz w:val="24"/>
              </w:rPr>
              <w:t>批阅</w:t>
            </w:r>
          </w:p>
        </w:tc>
        <w:tc>
          <w:tcPr>
            <w:tcW w:w="1810" w:type="dxa"/>
            <w:tcMar>
              <w:top w:w="57" w:type="dxa"/>
              <w:bottom w:w="57" w:type="dxa"/>
            </w:tcMar>
            <w:vAlign w:val="center"/>
          </w:tcPr>
          <w:p>
            <w:pPr>
              <w:snapToGrid w:val="0"/>
              <w:ind w:firstLine="420"/>
              <w:rPr>
                <w:rFonts w:hint="eastAsia" w:ascii="宋体" w:hAnsi="宋体"/>
                <w:szCs w:val="21"/>
              </w:rPr>
            </w:pPr>
            <w:r>
              <w:rPr>
                <w:rFonts w:ascii="仿宋" w:hAnsi="仿宋" w:eastAsia="仿宋"/>
                <w:sz w:val="24"/>
              </w:rPr>
              <w:t>100</w:t>
            </w:r>
          </w:p>
        </w:tc>
        <w:tc>
          <w:tcPr>
            <w:tcW w:w="1582" w:type="dxa"/>
            <w:tcMar>
              <w:top w:w="57" w:type="dxa"/>
              <w:bottom w:w="57" w:type="dxa"/>
            </w:tcMar>
            <w:vAlign w:val="center"/>
          </w:tcPr>
          <w:p>
            <w:pPr>
              <w:spacing w:line="360" w:lineRule="auto"/>
              <w:jc w:val="left"/>
              <w:rPr>
                <w:rFonts w:hint="eastAsia" w:ascii="仿宋" w:hAnsi="仿宋" w:eastAsia="仿宋" w:cs="仿宋_GB2312"/>
                <w:sz w:val="24"/>
              </w:rPr>
            </w:pPr>
            <w:r>
              <w:rPr>
                <w:rFonts w:hint="eastAsia" w:ascii="仿宋" w:hAnsi="仿宋" w:eastAsia="仿宋" w:cs="仿宋_GB2312"/>
                <w:sz w:val="24"/>
              </w:rPr>
              <w:t>课程目标1</w:t>
            </w:r>
          </w:p>
          <w:p>
            <w:pPr>
              <w:spacing w:line="360" w:lineRule="auto"/>
              <w:jc w:val="left"/>
              <w:rPr>
                <w:rFonts w:ascii="仿宋" w:hAnsi="仿宋" w:eastAsia="仿宋" w:cs="仿宋_GB2312"/>
                <w:sz w:val="24"/>
              </w:rPr>
            </w:pPr>
            <w:r>
              <w:rPr>
                <w:rFonts w:hint="eastAsia" w:ascii="仿宋" w:hAnsi="仿宋" w:eastAsia="仿宋" w:cs="仿宋_GB2312"/>
                <w:sz w:val="24"/>
              </w:rPr>
              <w:t>课程目标2</w:t>
            </w:r>
          </w:p>
          <w:p>
            <w:pPr>
              <w:spacing w:line="360" w:lineRule="auto"/>
              <w:jc w:val="left"/>
              <w:rPr>
                <w:rFonts w:hint="eastAsia" w:ascii="仿宋_GB2312" w:hAnsi="仿宋_GB2312" w:eastAsia="仿宋_GB2312" w:cs="仿宋_GB2312"/>
                <w:szCs w:val="21"/>
              </w:rPr>
            </w:pPr>
            <w:r>
              <w:rPr>
                <w:rFonts w:hint="eastAsia" w:ascii="仿宋" w:hAnsi="仿宋" w:eastAsia="仿宋" w:cs="仿宋_GB2312"/>
                <w:sz w:val="24"/>
              </w:rPr>
              <w:t>课程目标3</w:t>
            </w:r>
          </w:p>
        </w:tc>
      </w:tr>
    </w:tbl>
    <w:p>
      <w:pPr>
        <w:spacing w:line="360" w:lineRule="auto"/>
        <w:ind w:firstLine="480" w:firstLineChars="200"/>
        <w:jc w:val="left"/>
        <w:rPr>
          <w:rFonts w:ascii="仿宋_GB2312" w:hAnsi="仿宋_GB2312" w:eastAsia="仿宋_GB2312" w:cs="仿宋_GB2312"/>
          <w:color w:val="FF0000"/>
          <w:sz w:val="24"/>
        </w:rPr>
      </w:pPr>
      <w:r>
        <w:rPr>
          <w:rFonts w:hint="eastAsia" w:ascii="仿宋_GB2312" w:hAnsi="仿宋_GB2312" w:eastAsia="仿宋_GB2312" w:cs="仿宋_GB2312"/>
          <w:sz w:val="24"/>
        </w:rPr>
        <w:t>（四）考核/评价细则</w:t>
      </w:r>
    </w:p>
    <w:p>
      <w:pPr>
        <w:autoSpaceDE w:val="0"/>
        <w:autoSpaceDN w:val="0"/>
        <w:adjustRightInd w:val="0"/>
        <w:spacing w:line="360" w:lineRule="auto"/>
        <w:ind w:firstLine="720" w:firstLineChars="300"/>
        <w:jc w:val="left"/>
        <w:rPr>
          <w:rFonts w:hint="eastAsia" w:ascii="仿宋" w:hAnsi="仿宋" w:eastAsia="仿宋" w:cs="宋体"/>
          <w:kern w:val="0"/>
          <w:sz w:val="24"/>
          <w:szCs w:val="21"/>
        </w:rPr>
      </w:pPr>
      <w:r>
        <w:rPr>
          <w:rFonts w:hint="eastAsia" w:ascii="仿宋" w:hAnsi="仿宋" w:eastAsia="仿宋" w:cs="宋体"/>
          <w:kern w:val="0"/>
          <w:sz w:val="24"/>
          <w:szCs w:val="21"/>
        </w:rPr>
        <w:t>考察学生对纸浆造纸行业的描述，对专业知识的预习和对实习过程和现场记录的情况，具体体现在预习笔记中。按百分制计分，然后按照</w:t>
      </w:r>
      <w:r>
        <w:rPr>
          <w:rFonts w:ascii="仿宋" w:hAnsi="仿宋" w:eastAsia="仿宋" w:cs="宋体"/>
          <w:kern w:val="0"/>
          <w:sz w:val="24"/>
          <w:szCs w:val="21"/>
        </w:rPr>
        <w:t>20%</w:t>
      </w:r>
      <w:r>
        <w:rPr>
          <w:rFonts w:hint="eastAsia" w:ascii="仿宋" w:hAnsi="仿宋" w:eastAsia="仿宋" w:cs="宋体"/>
          <w:kern w:val="0"/>
          <w:sz w:val="24"/>
          <w:szCs w:val="21"/>
        </w:rPr>
        <w:t>进行折算，评分标准见表</w:t>
      </w:r>
      <w:r>
        <w:rPr>
          <w:rFonts w:ascii="仿宋" w:hAnsi="仿宋" w:eastAsia="仿宋" w:cs="宋体"/>
          <w:kern w:val="0"/>
          <w:sz w:val="24"/>
          <w:szCs w:val="21"/>
        </w:rPr>
        <w:t>3</w:t>
      </w:r>
      <w:r>
        <w:rPr>
          <w:rFonts w:hint="eastAsia" w:ascii="仿宋" w:hAnsi="仿宋" w:eastAsia="仿宋" w:cs="宋体"/>
          <w:kern w:val="0"/>
          <w:sz w:val="24"/>
          <w:szCs w:val="21"/>
        </w:rPr>
        <w:t>。</w:t>
      </w:r>
    </w:p>
    <w:p>
      <w:pPr>
        <w:tabs>
          <w:tab w:val="left" w:pos="1060"/>
        </w:tabs>
        <w:spacing w:line="360" w:lineRule="exact"/>
        <w:jc w:val="center"/>
        <w:rPr>
          <w:rFonts w:hint="eastAsia" w:ascii="仿宋" w:hAnsi="仿宋" w:eastAsia="仿宋" w:cs="宋体"/>
          <w:kern w:val="0"/>
          <w:sz w:val="24"/>
          <w:szCs w:val="21"/>
        </w:rPr>
      </w:pPr>
      <w:r>
        <w:rPr>
          <w:rFonts w:hint="eastAsia" w:ascii="仿宋" w:hAnsi="仿宋" w:eastAsia="仿宋" w:cs="宋体"/>
          <w:kern w:val="0"/>
          <w:sz w:val="24"/>
          <w:szCs w:val="21"/>
        </w:rPr>
        <w:t>表</w:t>
      </w:r>
      <w:r>
        <w:rPr>
          <w:rFonts w:ascii="仿宋" w:hAnsi="仿宋" w:eastAsia="仿宋" w:cs="宋体"/>
          <w:kern w:val="0"/>
          <w:sz w:val="24"/>
          <w:szCs w:val="21"/>
        </w:rPr>
        <w:t xml:space="preserve">3 </w:t>
      </w:r>
      <w:r>
        <w:rPr>
          <w:rFonts w:hint="eastAsia" w:ascii="仿宋" w:hAnsi="仿宋" w:eastAsia="仿宋" w:cs="宋体"/>
          <w:kern w:val="0"/>
          <w:sz w:val="24"/>
          <w:szCs w:val="21"/>
        </w:rPr>
        <w:t>实习笔记成绩评分标准</w:t>
      </w:r>
    </w:p>
    <w:tbl>
      <w:tblPr>
        <w:tblStyle w:val="7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0"/>
        <w:gridCol w:w="1276"/>
        <w:gridCol w:w="1418"/>
        <w:gridCol w:w="1417"/>
        <w:gridCol w:w="1134"/>
        <w:gridCol w:w="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0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观测点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80-100分</w:t>
            </w:r>
          </w:p>
        </w:tc>
        <w:tc>
          <w:tcPr>
            <w:tcW w:w="1418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60-79分</w:t>
            </w:r>
          </w:p>
        </w:tc>
        <w:tc>
          <w:tcPr>
            <w:tcW w:w="1417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40-59分</w:t>
            </w:r>
          </w:p>
        </w:tc>
        <w:tc>
          <w:tcPr>
            <w:tcW w:w="1134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1-39分</w:t>
            </w:r>
          </w:p>
        </w:tc>
        <w:tc>
          <w:tcPr>
            <w:tcW w:w="986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0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完成进度</w:t>
            </w:r>
          </w:p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（权重0.2）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提前</w:t>
            </w:r>
          </w:p>
        </w:tc>
        <w:tc>
          <w:tcPr>
            <w:tcW w:w="1418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按时</w:t>
            </w:r>
          </w:p>
        </w:tc>
        <w:tc>
          <w:tcPr>
            <w:tcW w:w="1417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延迟</w:t>
            </w:r>
          </w:p>
        </w:tc>
        <w:tc>
          <w:tcPr>
            <w:tcW w:w="1134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补交</w:t>
            </w:r>
          </w:p>
        </w:tc>
        <w:tc>
          <w:tcPr>
            <w:tcW w:w="986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未提交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0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内容丰富度</w:t>
            </w:r>
          </w:p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（权重0.5）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非常丰富</w:t>
            </w:r>
          </w:p>
        </w:tc>
        <w:tc>
          <w:tcPr>
            <w:tcW w:w="1418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丰富</w:t>
            </w:r>
          </w:p>
        </w:tc>
        <w:tc>
          <w:tcPr>
            <w:tcW w:w="1417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一般</w:t>
            </w:r>
          </w:p>
        </w:tc>
        <w:tc>
          <w:tcPr>
            <w:tcW w:w="1134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贫乏</w:t>
            </w:r>
          </w:p>
        </w:tc>
        <w:tc>
          <w:tcPr>
            <w:tcW w:w="986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未提交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0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规范性</w:t>
            </w:r>
          </w:p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(权重0.3)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非常规范</w:t>
            </w:r>
          </w:p>
        </w:tc>
        <w:tc>
          <w:tcPr>
            <w:tcW w:w="1418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规范</w:t>
            </w:r>
          </w:p>
        </w:tc>
        <w:tc>
          <w:tcPr>
            <w:tcW w:w="1417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一般</w:t>
            </w:r>
          </w:p>
        </w:tc>
        <w:tc>
          <w:tcPr>
            <w:tcW w:w="1134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欠规范</w:t>
            </w:r>
          </w:p>
        </w:tc>
        <w:tc>
          <w:tcPr>
            <w:tcW w:w="986" w:type="dxa"/>
          </w:tcPr>
          <w:p>
            <w:pPr>
              <w:tabs>
                <w:tab w:val="left" w:pos="1060"/>
              </w:tabs>
              <w:spacing w:line="360" w:lineRule="exact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未提交</w:t>
            </w:r>
          </w:p>
        </w:tc>
      </w:tr>
    </w:tbl>
    <w:p>
      <w:pPr>
        <w:tabs>
          <w:tab w:val="left" w:pos="1060"/>
        </w:tabs>
        <w:spacing w:line="360" w:lineRule="exact"/>
        <w:jc w:val="center"/>
        <w:rPr>
          <w:rFonts w:ascii="宋体" w:cs="宋体"/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宋体"/>
          <w:kern w:val="0"/>
          <w:sz w:val="24"/>
          <w:szCs w:val="21"/>
        </w:rPr>
      </w:pPr>
      <w:r>
        <w:rPr>
          <w:rFonts w:hint="eastAsia" w:ascii="仿宋" w:hAnsi="仿宋" w:eastAsia="仿宋" w:cs="宋体"/>
          <w:kern w:val="0"/>
          <w:sz w:val="24"/>
          <w:szCs w:val="21"/>
        </w:rPr>
        <w:t>2.</w:t>
      </w:r>
      <w:r>
        <w:rPr>
          <w:rFonts w:ascii="仿宋" w:hAnsi="仿宋" w:eastAsia="仿宋" w:cs="宋体"/>
          <w:kern w:val="0"/>
          <w:sz w:val="24"/>
          <w:szCs w:val="21"/>
        </w:rPr>
        <w:t xml:space="preserve"> </w:t>
      </w:r>
      <w:r>
        <w:rPr>
          <w:rFonts w:hint="eastAsia" w:ascii="仿宋" w:hAnsi="仿宋" w:eastAsia="仿宋" w:cs="宋体"/>
          <w:kern w:val="0"/>
          <w:sz w:val="24"/>
          <w:szCs w:val="21"/>
        </w:rPr>
        <w:t>实习周志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仿宋" w:hAnsi="仿宋" w:eastAsia="仿宋" w:cs="宋体"/>
          <w:kern w:val="0"/>
          <w:sz w:val="24"/>
          <w:szCs w:val="21"/>
        </w:rPr>
      </w:pPr>
      <w:r>
        <w:rPr>
          <w:rFonts w:hint="eastAsia" w:ascii="仿宋" w:hAnsi="仿宋" w:eastAsia="仿宋" w:cs="宋体"/>
          <w:kern w:val="0"/>
          <w:sz w:val="24"/>
          <w:szCs w:val="21"/>
        </w:rPr>
        <w:t>主要体现现场实习过程学生的学习和沟通能力，以及对纪律的遵守和对安全的重视，使学生能够自主地学习新知识和新技能，适应社会和行业的发展。根据带队老师的观察，参考校友邦的签到和周志的撰写，过程录制的视频和图像资料，按照百分制评分，然后按照</w:t>
      </w:r>
      <w:r>
        <w:rPr>
          <w:rFonts w:ascii="仿宋" w:hAnsi="仿宋" w:eastAsia="仿宋" w:cs="宋体"/>
          <w:kern w:val="0"/>
          <w:sz w:val="24"/>
          <w:szCs w:val="21"/>
        </w:rPr>
        <w:t>30%</w:t>
      </w:r>
      <w:r>
        <w:rPr>
          <w:rFonts w:hint="eastAsia" w:ascii="仿宋" w:hAnsi="仿宋" w:eastAsia="仿宋" w:cs="宋体"/>
          <w:kern w:val="0"/>
          <w:sz w:val="24"/>
          <w:szCs w:val="21"/>
        </w:rPr>
        <w:t>进行折算，评分标准见表</w:t>
      </w:r>
      <w:r>
        <w:rPr>
          <w:rFonts w:ascii="仿宋" w:hAnsi="仿宋" w:eastAsia="仿宋" w:cs="宋体"/>
          <w:kern w:val="0"/>
          <w:sz w:val="24"/>
          <w:szCs w:val="21"/>
        </w:rPr>
        <w:t>4</w:t>
      </w:r>
      <w:r>
        <w:rPr>
          <w:rFonts w:hint="eastAsia" w:ascii="仿宋" w:hAnsi="仿宋" w:eastAsia="仿宋" w:cs="宋体"/>
          <w:kern w:val="0"/>
          <w:sz w:val="24"/>
          <w:szCs w:val="21"/>
        </w:rPr>
        <w:t>。</w:t>
      </w:r>
    </w:p>
    <w:p>
      <w:pPr>
        <w:tabs>
          <w:tab w:val="left" w:pos="1060"/>
        </w:tabs>
        <w:spacing w:line="360" w:lineRule="auto"/>
        <w:jc w:val="center"/>
        <w:rPr>
          <w:rFonts w:hint="eastAsia" w:ascii="仿宋" w:hAnsi="仿宋" w:eastAsia="仿宋" w:cs="宋体"/>
          <w:kern w:val="0"/>
          <w:sz w:val="24"/>
          <w:szCs w:val="21"/>
        </w:rPr>
      </w:pPr>
      <w:r>
        <w:rPr>
          <w:rFonts w:hint="eastAsia" w:ascii="仿宋" w:hAnsi="仿宋" w:eastAsia="仿宋" w:cs="宋体"/>
          <w:kern w:val="0"/>
          <w:sz w:val="24"/>
          <w:szCs w:val="21"/>
        </w:rPr>
        <w:t>表4 现场表现成绩评分标准</w:t>
      </w:r>
    </w:p>
    <w:tbl>
      <w:tblPr>
        <w:tblStyle w:val="7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4"/>
        <w:gridCol w:w="1276"/>
        <w:gridCol w:w="1275"/>
        <w:gridCol w:w="1276"/>
        <w:gridCol w:w="1134"/>
        <w:gridCol w:w="9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4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观测点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80-100分</w:t>
            </w:r>
          </w:p>
        </w:tc>
        <w:tc>
          <w:tcPr>
            <w:tcW w:w="1275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60-79分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40-59分</w:t>
            </w:r>
          </w:p>
        </w:tc>
        <w:tc>
          <w:tcPr>
            <w:tcW w:w="1134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1-39分</w:t>
            </w:r>
          </w:p>
        </w:tc>
        <w:tc>
          <w:tcPr>
            <w:tcW w:w="98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434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倾听、沟通学习能力（权重</w:t>
            </w:r>
            <w:r>
              <w:rPr>
                <w:rFonts w:ascii="仿宋" w:hAnsi="仿宋" w:eastAsia="仿宋" w:cs="宋体"/>
                <w:kern w:val="0"/>
                <w:sz w:val="24"/>
                <w:szCs w:val="21"/>
              </w:rPr>
              <w:t>0.5</w:t>
            </w: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）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很好</w:t>
            </w:r>
          </w:p>
        </w:tc>
        <w:tc>
          <w:tcPr>
            <w:tcW w:w="1275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较好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一般</w:t>
            </w:r>
          </w:p>
        </w:tc>
        <w:tc>
          <w:tcPr>
            <w:tcW w:w="1134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较差</w:t>
            </w:r>
          </w:p>
        </w:tc>
        <w:tc>
          <w:tcPr>
            <w:tcW w:w="98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很差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4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纪律遵守</w:t>
            </w:r>
          </w:p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(权重0.3)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很好</w:t>
            </w:r>
          </w:p>
        </w:tc>
        <w:tc>
          <w:tcPr>
            <w:tcW w:w="1275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较好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一般</w:t>
            </w:r>
          </w:p>
        </w:tc>
        <w:tc>
          <w:tcPr>
            <w:tcW w:w="1134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较差</w:t>
            </w:r>
          </w:p>
        </w:tc>
        <w:tc>
          <w:tcPr>
            <w:tcW w:w="98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很差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4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安全意识</w:t>
            </w:r>
          </w:p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（权重0.2）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很好</w:t>
            </w:r>
          </w:p>
        </w:tc>
        <w:tc>
          <w:tcPr>
            <w:tcW w:w="1275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较好</w:t>
            </w:r>
          </w:p>
        </w:tc>
        <w:tc>
          <w:tcPr>
            <w:tcW w:w="127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一般</w:t>
            </w:r>
          </w:p>
        </w:tc>
        <w:tc>
          <w:tcPr>
            <w:tcW w:w="1134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较差</w:t>
            </w:r>
          </w:p>
        </w:tc>
        <w:tc>
          <w:tcPr>
            <w:tcW w:w="986" w:type="dxa"/>
          </w:tcPr>
          <w:p>
            <w:pPr>
              <w:tabs>
                <w:tab w:val="left" w:pos="1060"/>
              </w:tabs>
              <w:spacing w:line="360" w:lineRule="auto"/>
              <w:jc w:val="center"/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szCs w:val="21"/>
              </w:rPr>
              <w:t>很差</w:t>
            </w:r>
          </w:p>
        </w:tc>
      </w:tr>
    </w:tbl>
    <w:p>
      <w:pPr>
        <w:tabs>
          <w:tab w:val="left" w:pos="1060"/>
        </w:tabs>
        <w:spacing w:line="360" w:lineRule="auto"/>
        <w:jc w:val="center"/>
        <w:rPr>
          <w:rFonts w:hint="eastAsia" w:ascii="仿宋" w:hAnsi="仿宋" w:eastAsia="仿宋" w:cs="宋体"/>
          <w:kern w:val="0"/>
          <w:sz w:val="24"/>
          <w:szCs w:val="21"/>
        </w:rPr>
      </w:pP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宋体"/>
          <w:kern w:val="0"/>
          <w:sz w:val="24"/>
          <w:szCs w:val="21"/>
        </w:rPr>
      </w:pPr>
      <w:r>
        <w:rPr>
          <w:rFonts w:hint="eastAsia" w:ascii="仿宋" w:hAnsi="仿宋" w:eastAsia="仿宋" w:cs="宋体"/>
          <w:kern w:val="0"/>
          <w:sz w:val="24"/>
          <w:szCs w:val="21"/>
        </w:rPr>
        <w:t>3.</w:t>
      </w:r>
      <w:r>
        <w:rPr>
          <w:rFonts w:ascii="仿宋" w:hAnsi="仿宋" w:eastAsia="仿宋" w:cs="宋体"/>
          <w:kern w:val="0"/>
          <w:sz w:val="24"/>
          <w:szCs w:val="21"/>
        </w:rPr>
        <w:t xml:space="preserve"> </w:t>
      </w:r>
      <w:r>
        <w:rPr>
          <w:rFonts w:hint="eastAsia" w:ascii="仿宋" w:hAnsi="仿宋" w:eastAsia="仿宋" w:cs="宋体"/>
          <w:kern w:val="0"/>
          <w:sz w:val="24"/>
          <w:szCs w:val="21"/>
        </w:rPr>
        <w:t>实习报告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仿宋" w:hAnsi="仿宋" w:eastAsia="仿宋" w:cs="宋体"/>
          <w:kern w:val="0"/>
          <w:sz w:val="24"/>
          <w:szCs w:val="21"/>
        </w:rPr>
      </w:pPr>
      <w:r>
        <w:rPr>
          <w:rFonts w:hint="eastAsia" w:ascii="仿宋" w:hAnsi="仿宋" w:eastAsia="仿宋" w:cs="宋体"/>
          <w:kern w:val="0"/>
          <w:sz w:val="24"/>
          <w:szCs w:val="21"/>
        </w:rPr>
        <w:t>主要考察学生对科学技术的理解、职业规范的尊重和服务设备意识的塑造情况，体现在校友邦实习报告内容和规范性上。实习报告按照百分制评分，然后按照</w:t>
      </w:r>
      <w:r>
        <w:rPr>
          <w:rFonts w:ascii="仿宋" w:hAnsi="仿宋" w:eastAsia="仿宋" w:cs="宋体"/>
          <w:kern w:val="0"/>
          <w:sz w:val="24"/>
          <w:szCs w:val="21"/>
        </w:rPr>
        <w:t>50%</w:t>
      </w:r>
      <w:r>
        <w:rPr>
          <w:rFonts w:hint="eastAsia" w:ascii="仿宋" w:hAnsi="仿宋" w:eastAsia="仿宋" w:cs="宋体"/>
          <w:kern w:val="0"/>
          <w:sz w:val="24"/>
          <w:szCs w:val="21"/>
        </w:rPr>
        <w:t>进行折算。评分标准同表3。</w:t>
      </w:r>
    </w:p>
    <w:p>
      <w:pPr>
        <w:spacing w:line="360" w:lineRule="auto"/>
        <w:ind w:firstLine="480" w:firstLineChars="200"/>
        <w:jc w:val="left"/>
        <w:rPr>
          <w:rFonts w:hint="eastAsia"/>
          <w:sz w:val="24"/>
        </w:rPr>
      </w:pPr>
    </w:p>
    <w:p>
      <w:pPr>
        <w:spacing w:line="360" w:lineRule="auto"/>
        <w:ind w:firstLine="482" w:firstLineChars="200"/>
        <w:rPr>
          <w:rFonts w:hint="eastAsia" w:ascii="黑体" w:hAnsi="黑体" w:eastAsia="黑体" w:cs="黑体"/>
          <w:bCs/>
          <w:color w:val="FF0000"/>
          <w:sz w:val="24"/>
        </w:rPr>
      </w:pPr>
      <w:r>
        <w:rPr>
          <w:rFonts w:hint="eastAsia" w:ascii="黑体" w:hAnsi="黑体" w:eastAsia="黑体" w:cs="黑体"/>
          <w:b/>
          <w:sz w:val="24"/>
        </w:rPr>
        <w:t>九、课程目标达成评价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课程考核包括预习笔记、实习周志、实习报告三项，成绩综合评定，各部分所占比例分别为</w:t>
      </w:r>
      <w:r>
        <w:rPr>
          <w:rFonts w:ascii="仿宋" w:hAnsi="仿宋" w:eastAsia="仿宋" w:cs="宋体"/>
          <w:kern w:val="0"/>
          <w:sz w:val="24"/>
        </w:rPr>
        <w:t>20%</w:t>
      </w:r>
      <w:r>
        <w:rPr>
          <w:rFonts w:hint="eastAsia" w:ascii="仿宋" w:hAnsi="仿宋" w:eastAsia="仿宋" w:cs="宋体"/>
          <w:kern w:val="0"/>
          <w:sz w:val="24"/>
        </w:rPr>
        <w:t>、</w:t>
      </w:r>
      <w:r>
        <w:rPr>
          <w:rFonts w:ascii="仿宋" w:hAnsi="仿宋" w:eastAsia="仿宋" w:cs="宋体"/>
          <w:kern w:val="0"/>
          <w:sz w:val="24"/>
        </w:rPr>
        <w:t>30%</w:t>
      </w:r>
      <w:r>
        <w:rPr>
          <w:rFonts w:hint="eastAsia" w:ascii="仿宋" w:hAnsi="仿宋" w:eastAsia="仿宋" w:cs="宋体"/>
          <w:kern w:val="0"/>
          <w:sz w:val="24"/>
        </w:rPr>
        <w:t>、5</w:t>
      </w:r>
      <w:r>
        <w:rPr>
          <w:rFonts w:ascii="仿宋" w:hAnsi="仿宋" w:eastAsia="仿宋" w:cs="宋体"/>
          <w:kern w:val="0"/>
          <w:sz w:val="24"/>
        </w:rPr>
        <w:t>0%</w:t>
      </w:r>
      <w:r>
        <w:rPr>
          <w:rFonts w:hint="eastAsia" w:ascii="仿宋" w:hAnsi="仿宋" w:eastAsia="仿宋" w:cs="宋体"/>
          <w:kern w:val="0"/>
          <w:sz w:val="24"/>
        </w:rPr>
        <w:t>。课程考核内容、考核方法对课程目标的支撑见表</w:t>
      </w:r>
      <w:r>
        <w:rPr>
          <w:rFonts w:ascii="仿宋" w:hAnsi="仿宋" w:eastAsia="仿宋" w:cs="宋体"/>
          <w:kern w:val="0"/>
          <w:sz w:val="24"/>
        </w:rPr>
        <w:t>1</w:t>
      </w:r>
      <w:r>
        <w:rPr>
          <w:rFonts w:hint="eastAsia" w:ascii="仿宋" w:hAnsi="仿宋" w:eastAsia="仿宋" w:cs="宋体"/>
          <w:kern w:val="0"/>
          <w:sz w:val="24"/>
        </w:rPr>
        <w:t>。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仿宋" w:hAnsi="仿宋" w:eastAsia="仿宋" w:cs="宋体"/>
          <w:b/>
          <w:kern w:val="0"/>
          <w:sz w:val="24"/>
        </w:rPr>
      </w:pPr>
      <w:r>
        <w:rPr>
          <w:rFonts w:hint="eastAsia" w:ascii="仿宋" w:hAnsi="仿宋" w:eastAsia="仿宋" w:cs="宋体"/>
          <w:b/>
          <w:kern w:val="0"/>
          <w:sz w:val="24"/>
        </w:rPr>
        <w:t>表</w:t>
      </w:r>
      <w:r>
        <w:rPr>
          <w:rFonts w:ascii="仿宋" w:hAnsi="仿宋" w:eastAsia="仿宋" w:cs="宋体"/>
          <w:b/>
          <w:kern w:val="0"/>
          <w:sz w:val="24"/>
        </w:rPr>
        <w:t xml:space="preserve">1 </w:t>
      </w:r>
      <w:r>
        <w:rPr>
          <w:rFonts w:hint="eastAsia" w:ascii="仿宋" w:hAnsi="仿宋" w:eastAsia="仿宋" w:cs="宋体"/>
          <w:b/>
          <w:kern w:val="0"/>
          <w:sz w:val="24"/>
        </w:rPr>
        <w:t>课程考核内容、考核方法对课程目标的支撑情况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2376"/>
        <w:gridCol w:w="1481"/>
        <w:gridCol w:w="1409"/>
        <w:gridCol w:w="1409"/>
        <w:gridCol w:w="14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序号</w:t>
            </w:r>
          </w:p>
        </w:tc>
        <w:tc>
          <w:tcPr>
            <w:tcW w:w="237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课程目标</w:t>
            </w:r>
          </w:p>
        </w:tc>
        <w:tc>
          <w:tcPr>
            <w:tcW w:w="4299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考核环节</w:t>
            </w:r>
          </w:p>
        </w:tc>
        <w:tc>
          <w:tcPr>
            <w:tcW w:w="1421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课程目标</w:t>
            </w:r>
            <w:r>
              <w:rPr>
                <w:rFonts w:hint="eastAsia" w:ascii="仿宋" w:hAnsi="仿宋" w:eastAsia="仿宋"/>
                <w:sz w:val="24"/>
              </w:rPr>
              <w:t>分值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8" w:hRule="atLeast"/>
        </w:trPr>
        <w:tc>
          <w:tcPr>
            <w:tcW w:w="42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7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48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预习</w:t>
            </w:r>
            <w:r>
              <w:rPr>
                <w:rFonts w:hint="eastAsia" w:ascii="仿宋" w:hAnsi="仿宋" w:eastAsia="仿宋"/>
                <w:sz w:val="24"/>
              </w:rPr>
              <w:t>笔记</w:t>
            </w:r>
            <w:r>
              <w:rPr>
                <w:rFonts w:ascii="仿宋" w:hAnsi="仿宋" w:eastAsia="仿宋"/>
                <w:sz w:val="24"/>
              </w:rPr>
              <w:t>20</w:t>
            </w:r>
          </w:p>
        </w:tc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实习</w:t>
            </w:r>
            <w:r>
              <w:rPr>
                <w:rFonts w:hint="eastAsia" w:ascii="仿宋" w:hAnsi="仿宋" w:eastAsia="仿宋"/>
                <w:sz w:val="24"/>
              </w:rPr>
              <w:t>周志</w:t>
            </w:r>
            <w:r>
              <w:rPr>
                <w:rFonts w:ascii="仿宋" w:hAnsi="仿宋" w:eastAsia="仿宋"/>
                <w:sz w:val="24"/>
              </w:rPr>
              <w:t>30</w:t>
            </w:r>
          </w:p>
        </w:tc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实习报告50</w:t>
            </w:r>
          </w:p>
        </w:tc>
        <w:tc>
          <w:tcPr>
            <w:tcW w:w="1421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1</w:t>
            </w:r>
          </w:p>
        </w:tc>
        <w:tc>
          <w:tcPr>
            <w:tcW w:w="237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</w:p>
        </w:tc>
        <w:tc>
          <w:tcPr>
            <w:tcW w:w="148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0</w:t>
            </w:r>
          </w:p>
        </w:tc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30</w:t>
            </w:r>
          </w:p>
        </w:tc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4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2</w:t>
            </w:r>
          </w:p>
        </w:tc>
        <w:tc>
          <w:tcPr>
            <w:tcW w:w="237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</w:t>
            </w:r>
          </w:p>
        </w:tc>
        <w:tc>
          <w:tcPr>
            <w:tcW w:w="148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10</w:t>
            </w:r>
          </w:p>
        </w:tc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50</w:t>
            </w:r>
          </w:p>
        </w:tc>
        <w:tc>
          <w:tcPr>
            <w:tcW w:w="14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37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合计</w:t>
            </w:r>
          </w:p>
        </w:tc>
        <w:tc>
          <w:tcPr>
            <w:tcW w:w="148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20</w:t>
            </w:r>
          </w:p>
        </w:tc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30</w:t>
            </w:r>
          </w:p>
        </w:tc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50</w:t>
            </w:r>
          </w:p>
        </w:tc>
        <w:tc>
          <w:tcPr>
            <w:tcW w:w="142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100</w:t>
            </w:r>
          </w:p>
        </w:tc>
      </w:tr>
    </w:tbl>
    <w:p>
      <w:pPr>
        <w:tabs>
          <w:tab w:val="left" w:pos="672"/>
        </w:tabs>
        <w:spacing w:line="400" w:lineRule="exact"/>
        <w:rPr>
          <w:rFonts w:hAnsi="Cambria Math"/>
        </w:rPr>
      </w:pPr>
    </w:p>
    <w:p>
      <w:pPr>
        <w:spacing w:line="360" w:lineRule="auto"/>
        <w:ind w:firstLine="482" w:firstLineChars="200"/>
        <w:rPr>
          <w:rFonts w:hint="eastAsia" w:ascii="黑体" w:hAnsi="黑体" w:eastAsia="黑体" w:cs="黑体"/>
          <w:bCs/>
          <w:color w:val="FF0000"/>
        </w:rPr>
      </w:pPr>
      <w:r>
        <w:rPr>
          <w:rFonts w:hint="eastAsia" w:ascii="黑体" w:hAnsi="黑体" w:eastAsia="黑体" w:cs="黑体"/>
          <w:b/>
          <w:sz w:val="24"/>
        </w:rPr>
        <w:t>十、推荐教材和主要参考资料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（一）推荐教材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宋体"/>
          <w:kern w:val="0"/>
          <w:sz w:val="24"/>
        </w:rPr>
      </w:pPr>
      <w:r>
        <w:rPr>
          <w:rFonts w:ascii="仿宋" w:hAnsi="仿宋" w:eastAsia="仿宋" w:cs="宋体"/>
          <w:kern w:val="0"/>
          <w:sz w:val="24"/>
        </w:rPr>
        <w:t>1</w:t>
      </w:r>
      <w:r>
        <w:rPr>
          <w:rFonts w:hint="eastAsia" w:ascii="仿宋" w:hAnsi="仿宋" w:eastAsia="仿宋" w:cs="宋体"/>
          <w:kern w:val="0"/>
          <w:sz w:val="24"/>
        </w:rPr>
        <w:t>.</w:t>
      </w:r>
      <w:r>
        <w:rPr>
          <w:rFonts w:ascii="仿宋" w:hAnsi="仿宋" w:eastAsia="仿宋" w:cs="宋体"/>
          <w:kern w:val="0"/>
          <w:sz w:val="24"/>
        </w:rPr>
        <w:t>制浆原理与工程</w:t>
      </w:r>
      <w:r>
        <w:rPr>
          <w:rFonts w:hint="eastAsia" w:ascii="仿宋" w:hAnsi="仿宋" w:eastAsia="仿宋" w:cs="宋体"/>
          <w:kern w:val="0"/>
          <w:sz w:val="24"/>
        </w:rPr>
        <w:t>（第四版）</w:t>
      </w:r>
      <w:r>
        <w:rPr>
          <w:rFonts w:ascii="仿宋" w:hAnsi="仿宋" w:eastAsia="仿宋" w:cs="宋体"/>
          <w:kern w:val="0"/>
          <w:sz w:val="24"/>
        </w:rPr>
        <w:t>，詹怀宇主编，中国轻工业出版社，20</w:t>
      </w:r>
      <w:r>
        <w:rPr>
          <w:rFonts w:hint="eastAsia" w:ascii="仿宋" w:hAnsi="仿宋" w:eastAsia="仿宋" w:cs="宋体"/>
          <w:kern w:val="0"/>
          <w:sz w:val="24"/>
        </w:rPr>
        <w:t>19</w:t>
      </w:r>
      <w:r>
        <w:rPr>
          <w:rFonts w:ascii="仿宋" w:hAnsi="仿宋" w:eastAsia="仿宋" w:cs="宋体"/>
          <w:kern w:val="0"/>
          <w:sz w:val="24"/>
        </w:rPr>
        <w:t>年</w:t>
      </w:r>
      <w:r>
        <w:rPr>
          <w:rFonts w:hint="eastAsia" w:ascii="仿宋" w:hAnsi="仿宋" w:eastAsia="仿宋" w:cs="宋体"/>
          <w:kern w:val="0"/>
          <w:sz w:val="24"/>
        </w:rPr>
        <w:t>8</w:t>
      </w:r>
      <w:r>
        <w:rPr>
          <w:rFonts w:ascii="仿宋" w:hAnsi="仿宋" w:eastAsia="仿宋" w:cs="宋体"/>
          <w:kern w:val="0"/>
          <w:sz w:val="24"/>
        </w:rPr>
        <w:t>月</w:t>
      </w:r>
      <w:r>
        <w:rPr>
          <w:rFonts w:hint="eastAsia" w:ascii="仿宋" w:hAnsi="仿宋" w:eastAsia="仿宋" w:cs="宋体"/>
          <w:kern w:val="0"/>
          <w:sz w:val="24"/>
        </w:rPr>
        <w:t>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2.造纸原理与工程（第四版），何北海主编，中国轻工业出版社，2019年11月。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3.</w:t>
      </w:r>
      <w:r>
        <w:rPr>
          <w:rFonts w:ascii="仿宋" w:hAnsi="仿宋" w:eastAsia="仿宋" w:cs="宋体"/>
          <w:kern w:val="0"/>
          <w:sz w:val="24"/>
        </w:rPr>
        <w:t>制浆造纸机械与设备</w:t>
      </w:r>
      <w:r>
        <w:rPr>
          <w:rFonts w:hint="eastAsia" w:ascii="仿宋" w:hAnsi="仿宋" w:eastAsia="仿宋" w:cs="宋体"/>
          <w:kern w:val="0"/>
          <w:sz w:val="24"/>
        </w:rPr>
        <w:t>（第三版），陈克复主编，中国轻工业出版社，2011年6月。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（二）参考教材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1.造纸工艺与技术，纪培红，鞠成民主编，化学工业出版社，2005年。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2.制浆造纸助剂，安郁琴，刘忠主编，中国轻工业出版社出版时间，2007年01月。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宋体"/>
          <w:kern w:val="0"/>
          <w:sz w:val="24"/>
        </w:rPr>
        <w:t>3.</w:t>
      </w:r>
      <w:r>
        <w:rPr>
          <w:rFonts w:ascii="仿宋" w:hAnsi="仿宋" w:eastAsia="仿宋" w:cs="宋体"/>
          <w:kern w:val="0"/>
          <w:sz w:val="24"/>
        </w:rPr>
        <w:t>制浆造纸工艺计算手册</w:t>
      </w:r>
      <w:r>
        <w:rPr>
          <w:rFonts w:hint="eastAsia" w:ascii="仿宋" w:hAnsi="仿宋" w:eastAsia="仿宋" w:cs="宋体"/>
          <w:kern w:val="0"/>
          <w:sz w:val="24"/>
        </w:rPr>
        <w:t>，</w:t>
      </w:r>
      <w:r>
        <w:rPr>
          <w:rFonts w:ascii="仿宋" w:hAnsi="仿宋" w:eastAsia="仿宋" w:cs="宋体"/>
          <w:kern w:val="0"/>
          <w:sz w:val="24"/>
        </w:rPr>
        <w:t>王忠厚,许志晔</w:t>
      </w:r>
      <w:r>
        <w:rPr>
          <w:rFonts w:hint="eastAsia" w:ascii="仿宋" w:hAnsi="仿宋" w:eastAsia="仿宋" w:cs="宋体"/>
          <w:kern w:val="0"/>
          <w:sz w:val="24"/>
        </w:rPr>
        <w:t>编，</w:t>
      </w:r>
      <w:r>
        <w:rPr>
          <w:rFonts w:ascii="仿宋" w:hAnsi="仿宋" w:eastAsia="仿宋" w:cs="宋体"/>
          <w:kern w:val="0"/>
          <w:sz w:val="24"/>
        </w:rPr>
        <w:t>中国轻工业出版社</w:t>
      </w:r>
      <w:r>
        <w:rPr>
          <w:rFonts w:hint="eastAsia" w:ascii="仿宋" w:hAnsi="仿宋" w:eastAsia="仿宋" w:cs="宋体"/>
          <w:kern w:val="0"/>
          <w:sz w:val="24"/>
        </w:rPr>
        <w:t>，2011年5月。</w:t>
      </w:r>
    </w:p>
    <w:p>
      <w:pPr>
        <w:autoSpaceDE w:val="0"/>
        <w:autoSpaceDN w:val="0"/>
        <w:adjustRightInd w:val="0"/>
        <w:spacing w:line="360" w:lineRule="auto"/>
        <w:jc w:val="left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4</w:t>
      </w:r>
      <w:r>
        <w:rPr>
          <w:rFonts w:hint="eastAsia" w:ascii="仿宋" w:hAnsi="仿宋" w:eastAsia="仿宋" w:cs="宋体"/>
          <w:kern w:val="0"/>
          <w:sz w:val="24"/>
        </w:rPr>
        <w:t>.</w:t>
      </w:r>
      <w:r>
        <w:rPr>
          <w:rFonts w:hint="eastAsia" w:ascii="仿宋" w:hAnsi="仿宋" w:eastAsia="仿宋"/>
          <w:sz w:val="24"/>
        </w:rPr>
        <w:t>制浆黑液的碱回收，刘秉钺，化学工业出版社出版，2006年08月。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sz w:val="24"/>
        </w:rPr>
      </w:pPr>
    </w:p>
    <w:sectPr>
      <w:footerReference r:id="rId3" w:type="default"/>
      <w:pgSz w:w="11906" w:h="16838"/>
      <w:pgMar w:top="1701" w:right="1701" w:bottom="1701" w:left="1701" w:header="851" w:footer="11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E75D1DA-0BFA-4169-B03F-62B3B9C4E5C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2DD625F-FB4F-4C19-A324-BD5520A17E2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C649373-92D2-4467-992B-01E5AABD8A7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E5234A8-2D80-4BB5-8535-007E0B20F1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5F1804B-9C48-4735-B167-4CFEC1BED98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39471FC5-4CED-4F9F-B28D-FF95A462964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27B8D25-3E89-45DB-BF77-FD552BEF664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A9999A53-7D05-4343-ABD6-E930F07457C7}"/>
  </w:font>
  <w:font w:name="方正公文小标宋">
    <w:altName w:val="宋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9" w:fontKey="{34A55AC6-3AF9-421F-BD36-2FA80DD75E7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4640794F-AD71-4016-8B15-04D6A1629061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11" w:fontKey="{2C66030F-B5EB-4BC5-B096-7BA9AE4A9951}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  <w:embedRegular r:id="rId12" w:fontKey="{261FE2D1-C4F5-4ED3-B2B4-7C28EB5639FC}"/>
  </w:font>
  <w:font w:name="Segoe UI Symbol">
    <w:panose1 w:val="020B0502040204020203"/>
    <w:charset w:val="00"/>
    <w:family w:val="swiss"/>
    <w:pitch w:val="default"/>
    <w:sig w:usb0="800001E3" w:usb1="1200FFEF" w:usb2="0064C000" w:usb3="04000000" w:csb0="00000001" w:csb1="40000000"/>
    <w:embedRegular r:id="rId13" w:fontKey="{3BF20102-2295-463F-B6B6-C6F0BFD87E6A}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  <w:embedRegular r:id="rId14" w:fontKey="{7A3BAFE3-291E-43EE-9A75-46B9B68DDA4E}"/>
  </w:font>
  <w:font w:name="华光报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大黑二_CNKI">
    <w:panose1 w:val="02000500000000000000"/>
    <w:charset w:val="86"/>
    <w:family w:val="auto"/>
    <w:pitch w:val="default"/>
    <w:sig w:usb0="800002BF" w:usb1="38CF7CFA" w:usb2="00000016" w:usb3="00000000" w:csb0="0004000F" w:csb1="00000000"/>
  </w:font>
  <w:font w:name="华光粗圆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大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光楷体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小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华光姚体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  <w:embedRegular r:id="rId15" w:fontKey="{A4B986B7-69BE-45DC-ACCA-57D9BB384AA8}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  <w:embedRegular r:id="rId16" w:fontKey="{512A2138-0576-4B45-BFCC-78B3C07F90F8}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  <w:embedRegular r:id="rId17" w:fontKey="{14DA3388-9095-48D1-ADD0-89AAF58C415A}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  <w:embedRegular r:id="rId18" w:fontKey="{394DCD26-6C48-4AA3-AEFF-64BA413AAF46}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  <w:embedRegular r:id="rId19" w:fontKey="{C04C98A9-1082-48E6-BB07-BE599010AF53}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  <w:embedRegular r:id="rId20" w:fontKey="{1FAB3690-BD46-4DAE-A183-E98E7966851A}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3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/>
  <w:p/>
  <w:p/>
  <w:p/>
  <w:p/>
  <w:p/>
  <w:p/>
  <w:p/>
  <w:p/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RlNWZjNWIyYmUyN2NhN2ZiYzdjMjJjZTY5OWZhODUifQ=="/>
    <w:docVar w:name="KSO_WPS_MARK_KEY" w:val="a6a324b6-225f-419c-b84f-053a17f3fb97"/>
  </w:docVars>
  <w:rsids>
    <w:rsidRoot w:val="00AD5DDA"/>
    <w:rsid w:val="00002675"/>
    <w:rsid w:val="00027488"/>
    <w:rsid w:val="00030D83"/>
    <w:rsid w:val="000427D5"/>
    <w:rsid w:val="000506F3"/>
    <w:rsid w:val="000519F2"/>
    <w:rsid w:val="00063C9B"/>
    <w:rsid w:val="00083EAE"/>
    <w:rsid w:val="00093111"/>
    <w:rsid w:val="000B4B2E"/>
    <w:rsid w:val="000B606C"/>
    <w:rsid w:val="000C40B6"/>
    <w:rsid w:val="000D19C8"/>
    <w:rsid w:val="000D4ABF"/>
    <w:rsid w:val="000F10CB"/>
    <w:rsid w:val="00103E3F"/>
    <w:rsid w:val="001153DA"/>
    <w:rsid w:val="001230EA"/>
    <w:rsid w:val="0013535D"/>
    <w:rsid w:val="001415AB"/>
    <w:rsid w:val="00143B40"/>
    <w:rsid w:val="00147266"/>
    <w:rsid w:val="00150B19"/>
    <w:rsid w:val="00152429"/>
    <w:rsid w:val="001531FA"/>
    <w:rsid w:val="00156610"/>
    <w:rsid w:val="0016135F"/>
    <w:rsid w:val="0017258B"/>
    <w:rsid w:val="00191D10"/>
    <w:rsid w:val="001A19E5"/>
    <w:rsid w:val="001A7361"/>
    <w:rsid w:val="001B2997"/>
    <w:rsid w:val="001D527D"/>
    <w:rsid w:val="001F7B0C"/>
    <w:rsid w:val="00200642"/>
    <w:rsid w:val="00201D3C"/>
    <w:rsid w:val="00206EB4"/>
    <w:rsid w:val="00242B06"/>
    <w:rsid w:val="00260260"/>
    <w:rsid w:val="002804E9"/>
    <w:rsid w:val="002863B0"/>
    <w:rsid w:val="002B2908"/>
    <w:rsid w:val="002C5439"/>
    <w:rsid w:val="002D5B60"/>
    <w:rsid w:val="002D6EA5"/>
    <w:rsid w:val="00302336"/>
    <w:rsid w:val="00317C6C"/>
    <w:rsid w:val="00317DA8"/>
    <w:rsid w:val="00323554"/>
    <w:rsid w:val="003520E9"/>
    <w:rsid w:val="003602AC"/>
    <w:rsid w:val="00367288"/>
    <w:rsid w:val="003A2A74"/>
    <w:rsid w:val="003B1B59"/>
    <w:rsid w:val="003B31D5"/>
    <w:rsid w:val="003E7463"/>
    <w:rsid w:val="003F05C6"/>
    <w:rsid w:val="00401EBE"/>
    <w:rsid w:val="00417CE1"/>
    <w:rsid w:val="0044625B"/>
    <w:rsid w:val="00450011"/>
    <w:rsid w:val="00462EBB"/>
    <w:rsid w:val="00463898"/>
    <w:rsid w:val="004A4A37"/>
    <w:rsid w:val="004C6086"/>
    <w:rsid w:val="004E7364"/>
    <w:rsid w:val="00501C19"/>
    <w:rsid w:val="00511C55"/>
    <w:rsid w:val="00542185"/>
    <w:rsid w:val="005579B4"/>
    <w:rsid w:val="00561E49"/>
    <w:rsid w:val="00581698"/>
    <w:rsid w:val="00587938"/>
    <w:rsid w:val="0059511E"/>
    <w:rsid w:val="005B1C4A"/>
    <w:rsid w:val="005B3036"/>
    <w:rsid w:val="005C6E5B"/>
    <w:rsid w:val="005D54D6"/>
    <w:rsid w:val="005E3116"/>
    <w:rsid w:val="00617853"/>
    <w:rsid w:val="00625E44"/>
    <w:rsid w:val="00643A90"/>
    <w:rsid w:val="00654ED2"/>
    <w:rsid w:val="00661635"/>
    <w:rsid w:val="006711DF"/>
    <w:rsid w:val="00684B0F"/>
    <w:rsid w:val="006A0BFD"/>
    <w:rsid w:val="006B0D56"/>
    <w:rsid w:val="006C2ED5"/>
    <w:rsid w:val="006F305C"/>
    <w:rsid w:val="00711C82"/>
    <w:rsid w:val="007153B6"/>
    <w:rsid w:val="00726F99"/>
    <w:rsid w:val="007532A6"/>
    <w:rsid w:val="00764436"/>
    <w:rsid w:val="007658F4"/>
    <w:rsid w:val="007820AB"/>
    <w:rsid w:val="007C58AE"/>
    <w:rsid w:val="00803632"/>
    <w:rsid w:val="00826695"/>
    <w:rsid w:val="0086674C"/>
    <w:rsid w:val="00877997"/>
    <w:rsid w:val="00881533"/>
    <w:rsid w:val="00883012"/>
    <w:rsid w:val="00886844"/>
    <w:rsid w:val="008B3981"/>
    <w:rsid w:val="008B6802"/>
    <w:rsid w:val="008C27AF"/>
    <w:rsid w:val="008C6FA8"/>
    <w:rsid w:val="008D2D05"/>
    <w:rsid w:val="008E768D"/>
    <w:rsid w:val="008F2AD3"/>
    <w:rsid w:val="008F3129"/>
    <w:rsid w:val="00901B9C"/>
    <w:rsid w:val="00913330"/>
    <w:rsid w:val="00923999"/>
    <w:rsid w:val="0093377A"/>
    <w:rsid w:val="00954AE9"/>
    <w:rsid w:val="00954CC2"/>
    <w:rsid w:val="00957DBF"/>
    <w:rsid w:val="009834E5"/>
    <w:rsid w:val="00993DF9"/>
    <w:rsid w:val="009A0EFD"/>
    <w:rsid w:val="009D7179"/>
    <w:rsid w:val="009E0901"/>
    <w:rsid w:val="009E2E55"/>
    <w:rsid w:val="009E5A22"/>
    <w:rsid w:val="009F7870"/>
    <w:rsid w:val="00A0220C"/>
    <w:rsid w:val="00A113F8"/>
    <w:rsid w:val="00A5014F"/>
    <w:rsid w:val="00A645A7"/>
    <w:rsid w:val="00A849F7"/>
    <w:rsid w:val="00AA7A98"/>
    <w:rsid w:val="00AB418B"/>
    <w:rsid w:val="00AD5DDA"/>
    <w:rsid w:val="00B27FCB"/>
    <w:rsid w:val="00B40FAB"/>
    <w:rsid w:val="00B4127C"/>
    <w:rsid w:val="00B41964"/>
    <w:rsid w:val="00B5405A"/>
    <w:rsid w:val="00B543DB"/>
    <w:rsid w:val="00B6468D"/>
    <w:rsid w:val="00BA397E"/>
    <w:rsid w:val="00BB1603"/>
    <w:rsid w:val="00BB1A63"/>
    <w:rsid w:val="00BB4F00"/>
    <w:rsid w:val="00BD454C"/>
    <w:rsid w:val="00BE52E6"/>
    <w:rsid w:val="00BF3114"/>
    <w:rsid w:val="00C0533D"/>
    <w:rsid w:val="00C058CE"/>
    <w:rsid w:val="00C12193"/>
    <w:rsid w:val="00C3286E"/>
    <w:rsid w:val="00C33A2F"/>
    <w:rsid w:val="00C34826"/>
    <w:rsid w:val="00C3508A"/>
    <w:rsid w:val="00C43DF1"/>
    <w:rsid w:val="00C541FC"/>
    <w:rsid w:val="00C861A3"/>
    <w:rsid w:val="00C91438"/>
    <w:rsid w:val="00C918C9"/>
    <w:rsid w:val="00C93EB2"/>
    <w:rsid w:val="00CA4011"/>
    <w:rsid w:val="00CC66A6"/>
    <w:rsid w:val="00CF18A2"/>
    <w:rsid w:val="00D023E8"/>
    <w:rsid w:val="00D0418D"/>
    <w:rsid w:val="00D07776"/>
    <w:rsid w:val="00D15122"/>
    <w:rsid w:val="00D17AAC"/>
    <w:rsid w:val="00D340AE"/>
    <w:rsid w:val="00D36A6F"/>
    <w:rsid w:val="00D6263F"/>
    <w:rsid w:val="00D70870"/>
    <w:rsid w:val="00D75F3D"/>
    <w:rsid w:val="00D95AB1"/>
    <w:rsid w:val="00DA5FDF"/>
    <w:rsid w:val="00DA6957"/>
    <w:rsid w:val="00DE455A"/>
    <w:rsid w:val="00DE4800"/>
    <w:rsid w:val="00DE4AAD"/>
    <w:rsid w:val="00DE7927"/>
    <w:rsid w:val="00E03E38"/>
    <w:rsid w:val="00E40828"/>
    <w:rsid w:val="00E4402A"/>
    <w:rsid w:val="00E45597"/>
    <w:rsid w:val="00E50673"/>
    <w:rsid w:val="00E53265"/>
    <w:rsid w:val="00E57B81"/>
    <w:rsid w:val="00E6096D"/>
    <w:rsid w:val="00E625A6"/>
    <w:rsid w:val="00E7775E"/>
    <w:rsid w:val="00E81A46"/>
    <w:rsid w:val="00E84F59"/>
    <w:rsid w:val="00EA0BF1"/>
    <w:rsid w:val="00EB6165"/>
    <w:rsid w:val="00EB66B2"/>
    <w:rsid w:val="00ED4B96"/>
    <w:rsid w:val="00ED6D05"/>
    <w:rsid w:val="00EF2E80"/>
    <w:rsid w:val="00EF69FA"/>
    <w:rsid w:val="00F06507"/>
    <w:rsid w:val="00F12A19"/>
    <w:rsid w:val="00F14DFE"/>
    <w:rsid w:val="00F15154"/>
    <w:rsid w:val="00F3432A"/>
    <w:rsid w:val="00F3616A"/>
    <w:rsid w:val="00F379CC"/>
    <w:rsid w:val="00F52885"/>
    <w:rsid w:val="00F55A4D"/>
    <w:rsid w:val="00F600A4"/>
    <w:rsid w:val="00F70A53"/>
    <w:rsid w:val="00F864B2"/>
    <w:rsid w:val="00F92E5D"/>
    <w:rsid w:val="00F93936"/>
    <w:rsid w:val="00FA27B3"/>
    <w:rsid w:val="00FA5586"/>
    <w:rsid w:val="00FB2E32"/>
    <w:rsid w:val="00FB3458"/>
    <w:rsid w:val="00FB58AF"/>
    <w:rsid w:val="00FC12A4"/>
    <w:rsid w:val="00FC4A93"/>
    <w:rsid w:val="00FD27DF"/>
    <w:rsid w:val="00FD7EDF"/>
    <w:rsid w:val="00FE0499"/>
    <w:rsid w:val="00FF3AC5"/>
    <w:rsid w:val="011618E0"/>
    <w:rsid w:val="125379AF"/>
    <w:rsid w:val="13DF4E91"/>
    <w:rsid w:val="21C466A1"/>
    <w:rsid w:val="28BF7CA2"/>
    <w:rsid w:val="3FFF87A0"/>
    <w:rsid w:val="418F7CE8"/>
    <w:rsid w:val="49705477"/>
    <w:rsid w:val="5450644C"/>
    <w:rsid w:val="5CE54361"/>
    <w:rsid w:val="672D39C9"/>
    <w:rsid w:val="6DF46832"/>
    <w:rsid w:val="75122CEA"/>
    <w:rsid w:val="79B6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semiHidden/>
    <w:qFormat/>
    <w:uiPriority w:val="0"/>
    <w:pPr>
      <w:spacing w:before="120" w:after="120"/>
      <w:jc w:val="left"/>
    </w:pPr>
    <w:rPr>
      <w:b/>
      <w:bCs/>
      <w:caps/>
      <w:sz w:val="20"/>
      <w:szCs w:val="20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9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9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0" Type="http://schemas.openxmlformats.org/officeDocument/2006/relationships/font" Target="fonts/font20.odttf"/><Relationship Id="rId2" Type="http://schemas.openxmlformats.org/officeDocument/2006/relationships/font" Target="fonts/font2.odttf"/><Relationship Id="rId19" Type="http://schemas.openxmlformats.org/officeDocument/2006/relationships/font" Target="fonts/font19.odttf"/><Relationship Id="rId18" Type="http://schemas.openxmlformats.org/officeDocument/2006/relationships/font" Target="fonts/font18.odttf"/><Relationship Id="rId17" Type="http://schemas.openxmlformats.org/officeDocument/2006/relationships/font" Target="fonts/font17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JWC</Company>
  <Pages>8</Pages>
  <Words>524</Words>
  <Characters>2991</Characters>
  <Lines>24</Lines>
  <Paragraphs>7</Paragraphs>
  <TotalTime>26</TotalTime>
  <ScaleCrop>false</ScaleCrop>
  <LinksUpToDate>false</LinksUpToDate>
  <CharactersWithSpaces>3508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2019-03-04T14:24:00Z</dcterms:created>
  <dc:creator>LiTao</dc:creator>
  <cp:lastModifiedBy>齐鲁工大_姜亦飞</cp:lastModifiedBy>
  <cp:lastPrinted>2019-05-27T11:40:00Z</cp:lastPrinted>
  <dcterms:modified xsi:type="dcterms:W3CDTF">2024-11-01T09:10:13Z</dcterms:modified>
  <dc:title>附件1：理论课程撰写模板</dc:title>
  <cp:revision>101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C51DA98BA0914D50A65D4F571B3BD746</vt:lpwstr>
  </property>
</Properties>
</file>