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A572D">
      <w:pPr>
        <w:spacing w:line="360" w:lineRule="auto"/>
        <w:jc w:val="both"/>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附件11</w:t>
      </w:r>
    </w:p>
    <w:p w14:paraId="362765B2">
      <w:pPr>
        <w:jc w:val="center"/>
        <w:rPr>
          <w:rFonts w:hint="eastAsia" w:ascii="方正公文小标宋" w:hAnsi="方正公文小标宋" w:eastAsia="方正公文小标宋" w:cs="方正公文小标宋"/>
          <w:sz w:val="36"/>
          <w:lang w:val="en-US" w:eastAsia="zh-CN"/>
        </w:rPr>
      </w:pPr>
      <w:r>
        <w:rPr>
          <w:rFonts w:hint="eastAsia" w:ascii="方正公文小标宋" w:hAnsi="方正公文小标宋" w:eastAsia="方正公文小标宋" w:cs="方正公文小标宋"/>
          <w:sz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方正公文小标宋" w:hAnsi="方正公文小标宋" w:eastAsia="方正公文小标宋" w:cs="方正公文小标宋"/>
          <w:sz w:val="36"/>
        </w:rPr>
        <w:instrText xml:space="preserve">ADDIN CNKISM.UserStyle</w:instrText>
      </w:r>
      <w:r>
        <w:rPr>
          <w:rFonts w:hint="eastAsia" w:ascii="方正公文小标宋" w:hAnsi="方正公文小标宋" w:eastAsia="方正公文小标宋" w:cs="方正公文小标宋"/>
          <w:sz w:val="36"/>
        </w:rPr>
        <w:fldChar w:fldCharType="end"/>
      </w:r>
      <w:r>
        <w:rPr>
          <w:rFonts w:hint="eastAsia" w:ascii="方正公文小标宋" w:hAnsi="方正公文小标宋" w:eastAsia="方正公文小标宋" w:cs="方正公文小标宋"/>
          <w:sz w:val="36"/>
        </w:rPr>
        <w:t>《生物质资源化利用技术》课程教学</w:t>
      </w:r>
      <w:r>
        <w:rPr>
          <w:rFonts w:hint="eastAsia" w:ascii="方正公文小标宋" w:hAnsi="方正公文小标宋" w:eastAsia="方正公文小标宋" w:cs="方正公文小标宋"/>
          <w:sz w:val="36"/>
          <w:lang w:eastAsia="zh-CN"/>
        </w:rPr>
        <w:t>大纲</w:t>
      </w:r>
    </w:p>
    <w:p w14:paraId="06745D43">
      <w:pPr>
        <w:tabs>
          <w:tab w:val="left" w:pos="672"/>
        </w:tabs>
        <w:spacing w:line="400" w:lineRule="exact"/>
        <w:ind w:firstLine="560" w:firstLineChars="200"/>
        <w:jc w:val="center"/>
        <w:rPr>
          <w:rFonts w:ascii="黑体" w:hAnsi="宋体" w:eastAsia="黑体"/>
          <w:sz w:val="28"/>
          <w:szCs w:val="28"/>
        </w:rPr>
      </w:pPr>
      <w:r>
        <w:rPr>
          <w:rFonts w:hint="eastAsia" w:ascii="仿宋" w:hAnsi="仿宋" w:eastAsia="仿宋" w:cs="仿宋"/>
          <w:sz w:val="28"/>
          <w:szCs w:val="28"/>
        </w:rPr>
        <w:t>（理论课程·202</w:t>
      </w:r>
      <w:r>
        <w:rPr>
          <w:rFonts w:hint="eastAsia" w:ascii="仿宋" w:hAnsi="仿宋" w:eastAsia="仿宋" w:cs="仿宋"/>
          <w:sz w:val="28"/>
          <w:szCs w:val="28"/>
          <w:lang w:val="en-US" w:eastAsia="zh-CN"/>
        </w:rPr>
        <w:t>4</w:t>
      </w:r>
      <w:r>
        <w:rPr>
          <w:rFonts w:hint="eastAsia" w:ascii="仿宋" w:hAnsi="仿宋" w:eastAsia="仿宋" w:cs="仿宋"/>
          <w:sz w:val="28"/>
          <w:szCs w:val="28"/>
        </w:rPr>
        <w:t>版）</w:t>
      </w:r>
    </w:p>
    <w:p w14:paraId="4A54AF7D">
      <w:pPr>
        <w:spacing w:line="360" w:lineRule="auto"/>
        <w:ind w:firstLine="482" w:firstLineChars="200"/>
        <w:rPr>
          <w:rFonts w:hint="eastAsia" w:ascii="黑体" w:hAnsi="黑体" w:eastAsia="黑体" w:cs="黑体"/>
          <w:b w:val="0"/>
          <w:bCs/>
          <w:color w:val="FF0000"/>
          <w:sz w:val="24"/>
          <w:lang w:eastAsia="zh-CN"/>
        </w:rPr>
      </w:pPr>
      <w:r>
        <w:rPr>
          <w:rFonts w:hint="eastAsia" w:ascii="黑体" w:hAnsi="黑体" w:eastAsia="黑体" w:cs="黑体"/>
          <w:b/>
          <w:sz w:val="24"/>
        </w:rPr>
        <w:t>一、课程基本信息</w:t>
      </w:r>
    </w:p>
    <w:tbl>
      <w:tblPr>
        <w:tblStyle w:val="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701"/>
        <w:gridCol w:w="2268"/>
        <w:gridCol w:w="1701"/>
        <w:gridCol w:w="2835"/>
      </w:tblGrid>
      <w:tr w14:paraId="7E68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4F3A256B">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课 程 号</w:t>
            </w:r>
          </w:p>
        </w:tc>
        <w:tc>
          <w:tcPr>
            <w:tcW w:w="2268" w:type="dxa"/>
            <w:vAlign w:val="center"/>
          </w:tcPr>
          <w:p w14:paraId="6AA2300F">
            <w:pPr>
              <w:adjustRightInd w:val="0"/>
              <w:snapToGrid w:val="0"/>
              <w:jc w:val="center"/>
              <w:rPr>
                <w:rFonts w:hint="eastAsia" w:ascii="黑体" w:hAnsi="黑体" w:eastAsia="黑体" w:cs="黑体"/>
                <w:b w:val="0"/>
                <w:bCs w:val="0"/>
                <w:sz w:val="24"/>
                <w:szCs w:val="24"/>
              </w:rPr>
            </w:pPr>
            <w:r>
              <w:rPr>
                <w:rFonts w:hint="eastAsia" w:ascii="黑体" w:hAnsi="黑体" w:eastAsia="黑体" w:cs="黑体"/>
                <w:sz w:val="24"/>
                <w:szCs w:val="24"/>
                <w:highlight w:val="none"/>
              </w:rPr>
              <w:t>B9150</w:t>
            </w:r>
            <w:r>
              <w:rPr>
                <w:rFonts w:hint="eastAsia" w:ascii="黑体" w:hAnsi="黑体" w:eastAsia="黑体" w:cs="黑体"/>
                <w:sz w:val="24"/>
                <w:szCs w:val="24"/>
                <w:highlight w:val="none"/>
                <w:lang w:val="en-US" w:eastAsia="zh-CN"/>
              </w:rPr>
              <w:t>1</w:t>
            </w:r>
            <w:r>
              <w:rPr>
                <w:rFonts w:hint="eastAsia" w:ascii="黑体" w:hAnsi="黑体" w:eastAsia="黑体" w:cs="黑体"/>
                <w:sz w:val="24"/>
                <w:szCs w:val="24"/>
                <w:highlight w:val="none"/>
              </w:rPr>
              <w:t>2</w:t>
            </w:r>
          </w:p>
        </w:tc>
        <w:tc>
          <w:tcPr>
            <w:tcW w:w="1701" w:type="dxa"/>
            <w:vAlign w:val="center"/>
          </w:tcPr>
          <w:p w14:paraId="72687892">
            <w:pPr>
              <w:adjustRightInd w:val="0"/>
              <w:snapToGrid w:val="0"/>
              <w:jc w:val="center"/>
              <w:rPr>
                <w:rFonts w:hint="eastAsia" w:ascii="黑体" w:hAnsi="黑体" w:eastAsia="黑体" w:cs="黑体"/>
                <w:b w:val="0"/>
                <w:bCs w:val="0"/>
                <w:sz w:val="24"/>
                <w:szCs w:val="24"/>
              </w:rPr>
            </w:pPr>
            <w:r>
              <w:rPr>
                <w:rFonts w:hint="eastAsia" w:ascii="黑体" w:hAnsi="黑体" w:eastAsia="黑体" w:cs="黑体"/>
                <w:b w:val="0"/>
                <w:bCs w:val="0"/>
                <w:color w:val="000000" w:themeColor="text1"/>
                <w:sz w:val="24"/>
                <w:szCs w:val="24"/>
                <w14:textFill>
                  <w14:solidFill>
                    <w14:schemeClr w14:val="tx1"/>
                  </w14:solidFill>
                </w14:textFill>
              </w:rPr>
              <w:t>开课单位</w:t>
            </w:r>
          </w:p>
        </w:tc>
        <w:tc>
          <w:tcPr>
            <w:tcW w:w="2835" w:type="dxa"/>
            <w:vAlign w:val="center"/>
          </w:tcPr>
          <w:p w14:paraId="2709DAFA">
            <w:pPr>
              <w:adjustRightInd w:val="0"/>
              <w:snapToGrid w:val="0"/>
              <w:jc w:val="center"/>
              <w:rPr>
                <w:rFonts w:hint="eastAsia" w:ascii="黑体" w:hAnsi="黑体" w:eastAsia="黑体" w:cs="黑体"/>
                <w:b w:val="0"/>
                <w:bCs w:val="0"/>
                <w:sz w:val="24"/>
                <w:szCs w:val="24"/>
              </w:rPr>
            </w:pPr>
            <w:r>
              <w:rPr>
                <w:rFonts w:hint="eastAsia" w:ascii="黑体" w:hAnsi="黑体" w:eastAsia="黑体" w:cs="黑体"/>
                <w:sz w:val="24"/>
                <w:szCs w:val="24"/>
              </w:rPr>
              <w:t>轻工学部 轻化工程教研室</w:t>
            </w:r>
          </w:p>
        </w:tc>
      </w:tr>
      <w:tr w14:paraId="5CD6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Merge w:val="restart"/>
            <w:vAlign w:val="center"/>
          </w:tcPr>
          <w:p w14:paraId="7E1CF81D">
            <w:pPr>
              <w:adjustRightInd w:val="0"/>
              <w:snapToGrid w:val="0"/>
              <w:jc w:val="center"/>
              <w:rPr>
                <w:rFonts w:hint="eastAsia" w:ascii="黑体" w:hAnsi="黑体" w:eastAsia="黑体" w:cs="黑体"/>
                <w:b w:val="0"/>
                <w:bCs/>
                <w:color w:val="FF0000"/>
                <w:sz w:val="24"/>
                <w:szCs w:val="24"/>
              </w:rPr>
            </w:pPr>
            <w:r>
              <w:rPr>
                <w:rFonts w:hint="eastAsia" w:ascii="黑体" w:hAnsi="黑体" w:eastAsia="黑体" w:cs="黑体"/>
                <w:b w:val="0"/>
                <w:bCs/>
                <w:color w:val="000000" w:themeColor="text1"/>
                <w:sz w:val="24"/>
                <w:szCs w:val="24"/>
                <w14:textFill>
                  <w14:solidFill>
                    <w14:schemeClr w14:val="tx1"/>
                  </w14:solidFill>
                </w14:textFill>
              </w:rPr>
              <w:t>课程名称</w:t>
            </w:r>
          </w:p>
        </w:tc>
        <w:tc>
          <w:tcPr>
            <w:tcW w:w="6804" w:type="dxa"/>
            <w:gridSpan w:val="3"/>
            <w:vAlign w:val="center"/>
          </w:tcPr>
          <w:p w14:paraId="56B32A2D">
            <w:pPr>
              <w:adjustRightInd w:val="0"/>
              <w:snapToGrid w:val="0"/>
              <w:jc w:val="left"/>
              <w:rPr>
                <w:rFonts w:hint="eastAsia" w:ascii="黑体" w:hAnsi="黑体" w:eastAsia="黑体" w:cs="黑体"/>
                <w:b w:val="0"/>
                <w:bCs w:val="0"/>
                <w:sz w:val="24"/>
                <w:szCs w:val="24"/>
              </w:rPr>
            </w:pPr>
            <w:r>
              <w:rPr>
                <w:rFonts w:hint="eastAsia" w:ascii="黑体" w:hAnsi="黑体" w:eastAsia="黑体" w:cs="黑体"/>
                <w:b w:val="0"/>
                <w:bCs w:val="0"/>
                <w:sz w:val="24"/>
                <w:szCs w:val="24"/>
              </w:rPr>
              <w:t>（中</w:t>
            </w:r>
            <w:r>
              <w:rPr>
                <w:rFonts w:hint="eastAsia" w:ascii="黑体" w:hAnsi="黑体" w:eastAsia="黑体" w:cs="黑体"/>
                <w:sz w:val="24"/>
                <w:szCs w:val="24"/>
              </w:rPr>
              <w:t>文）生物质资源化利用技术</w:t>
            </w:r>
          </w:p>
        </w:tc>
      </w:tr>
      <w:tr w14:paraId="1B4E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Merge w:val="continue"/>
            <w:vAlign w:val="center"/>
          </w:tcPr>
          <w:p w14:paraId="45A0B660">
            <w:pPr>
              <w:adjustRightInd w:val="0"/>
              <w:snapToGrid w:val="0"/>
              <w:jc w:val="center"/>
              <w:rPr>
                <w:rFonts w:hint="eastAsia" w:ascii="黑体" w:hAnsi="黑体" w:eastAsia="黑体" w:cs="黑体"/>
                <w:b w:val="0"/>
                <w:bCs/>
                <w:color w:val="FF0000"/>
                <w:sz w:val="24"/>
                <w:szCs w:val="24"/>
              </w:rPr>
            </w:pPr>
          </w:p>
        </w:tc>
        <w:tc>
          <w:tcPr>
            <w:tcW w:w="6804" w:type="dxa"/>
            <w:gridSpan w:val="3"/>
            <w:vAlign w:val="center"/>
          </w:tcPr>
          <w:p w14:paraId="7D61FF27">
            <w:pPr>
              <w:adjustRightInd w:val="0"/>
              <w:snapToGrid w:val="0"/>
              <w:jc w:val="left"/>
              <w:rPr>
                <w:rFonts w:hint="eastAsia" w:ascii="黑体" w:hAnsi="黑体" w:eastAsia="黑体" w:cs="黑体"/>
                <w:b w:val="0"/>
                <w:bCs w:val="0"/>
                <w:sz w:val="24"/>
                <w:szCs w:val="24"/>
              </w:rPr>
            </w:pPr>
            <w:r>
              <w:rPr>
                <w:rFonts w:hint="eastAsia" w:ascii="黑体" w:hAnsi="黑体" w:eastAsia="黑体" w:cs="黑体"/>
                <w:sz w:val="24"/>
                <w:szCs w:val="24"/>
              </w:rPr>
              <w:t>（英文）Biomass Resources Utilization and Technology</w:t>
            </w:r>
          </w:p>
        </w:tc>
      </w:tr>
      <w:tr w14:paraId="64AA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4D0FDE1D">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课程性质</w:t>
            </w:r>
          </w:p>
        </w:tc>
        <w:tc>
          <w:tcPr>
            <w:tcW w:w="2268" w:type="dxa"/>
            <w:vAlign w:val="center"/>
          </w:tcPr>
          <w:p w14:paraId="14248720">
            <w:pPr>
              <w:adjustRightInd w:val="0"/>
              <w:snapToGrid w:val="0"/>
              <w:jc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选修</w:t>
            </w:r>
          </w:p>
        </w:tc>
        <w:tc>
          <w:tcPr>
            <w:tcW w:w="1701" w:type="dxa"/>
            <w:vAlign w:val="center"/>
          </w:tcPr>
          <w:p w14:paraId="286C6770">
            <w:pPr>
              <w:adjustRightInd w:val="0"/>
              <w:snapToGrid w:val="0"/>
              <w:jc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考核类型</w:t>
            </w:r>
          </w:p>
        </w:tc>
        <w:tc>
          <w:tcPr>
            <w:tcW w:w="2835" w:type="dxa"/>
            <w:vAlign w:val="center"/>
          </w:tcPr>
          <w:p w14:paraId="54ACB374">
            <w:pPr>
              <w:adjustRightInd w:val="0"/>
              <w:snapToGrid w:val="0"/>
              <w:jc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lang w:val="en-US" w:eastAsia="zh-CN"/>
              </w:rPr>
              <w:t>考查</w:t>
            </w:r>
          </w:p>
        </w:tc>
      </w:tr>
      <w:tr w14:paraId="26FA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89" w:hRule="atLeast"/>
          <w:jc w:val="center"/>
        </w:trPr>
        <w:tc>
          <w:tcPr>
            <w:tcW w:w="1701" w:type="dxa"/>
            <w:vAlign w:val="center"/>
          </w:tcPr>
          <w:p w14:paraId="26A5A33E">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课程学分</w:t>
            </w:r>
          </w:p>
        </w:tc>
        <w:tc>
          <w:tcPr>
            <w:tcW w:w="2268" w:type="dxa"/>
            <w:vAlign w:val="center"/>
          </w:tcPr>
          <w:p w14:paraId="0F7141F2">
            <w:pPr>
              <w:adjustRightInd w:val="0"/>
              <w:snapToGrid w:val="0"/>
              <w:jc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1</w:t>
            </w:r>
          </w:p>
        </w:tc>
        <w:tc>
          <w:tcPr>
            <w:tcW w:w="1701" w:type="dxa"/>
            <w:vAlign w:val="center"/>
          </w:tcPr>
          <w:p w14:paraId="78384AC9">
            <w:pPr>
              <w:adjustRightInd w:val="0"/>
              <w:snapToGrid w:val="0"/>
              <w:jc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课程学时</w:t>
            </w:r>
          </w:p>
        </w:tc>
        <w:tc>
          <w:tcPr>
            <w:tcW w:w="2835" w:type="dxa"/>
            <w:vAlign w:val="center"/>
          </w:tcPr>
          <w:p w14:paraId="2835136B">
            <w:pPr>
              <w:adjustRightInd w:val="0"/>
              <w:snapToGrid w:val="0"/>
              <w:jc w:val="center"/>
              <w:rPr>
                <w:rFonts w:hint="default"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16</w:t>
            </w:r>
          </w:p>
        </w:tc>
      </w:tr>
      <w:tr w14:paraId="177E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549467AF">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课程类别</w:t>
            </w:r>
          </w:p>
        </w:tc>
        <w:tc>
          <w:tcPr>
            <w:tcW w:w="6804" w:type="dxa"/>
            <w:gridSpan w:val="3"/>
            <w:vAlign w:val="center"/>
          </w:tcPr>
          <w:p w14:paraId="34149B40">
            <w:pPr>
              <w:adjustRightInd w:val="0"/>
              <w:snapToGrid w:val="0"/>
              <w:jc w:val="center"/>
              <w:rPr>
                <w:rFonts w:hint="eastAsia" w:ascii="黑体" w:hAnsi="黑体" w:eastAsia="黑体" w:cs="黑体"/>
                <w:b w:val="0"/>
                <w:bCs w:val="0"/>
                <w:i w:val="0"/>
                <w:iCs w:val="0"/>
                <w:sz w:val="24"/>
                <w:szCs w:val="24"/>
                <w:lang w:eastAsia="zh-CN"/>
              </w:rPr>
            </w:pPr>
            <w:r>
              <w:rPr>
                <w:rFonts w:hint="eastAsia" w:ascii="黑体" w:hAnsi="黑体" w:eastAsia="黑体" w:cs="黑体"/>
                <w:b w:val="0"/>
                <w:bCs w:val="0"/>
                <w:sz w:val="24"/>
                <w:szCs w:val="24"/>
                <w:lang w:eastAsia="zh-CN"/>
              </w:rPr>
              <w:t>专业方向</w:t>
            </w:r>
          </w:p>
        </w:tc>
      </w:tr>
      <w:tr w14:paraId="7AA2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78" w:hRule="atLeast"/>
          <w:jc w:val="center"/>
        </w:trPr>
        <w:tc>
          <w:tcPr>
            <w:tcW w:w="1701" w:type="dxa"/>
            <w:vAlign w:val="center"/>
          </w:tcPr>
          <w:p w14:paraId="57B3AAA8">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先修课程</w:t>
            </w:r>
          </w:p>
        </w:tc>
        <w:tc>
          <w:tcPr>
            <w:tcW w:w="6804" w:type="dxa"/>
            <w:gridSpan w:val="3"/>
            <w:vAlign w:val="center"/>
          </w:tcPr>
          <w:p w14:paraId="65DB7C08">
            <w:pPr>
              <w:adjustRightInd w:val="0"/>
              <w:snapToGrid w:val="0"/>
              <w:jc w:val="center"/>
              <w:rPr>
                <w:rFonts w:hint="eastAsia" w:ascii="黑体" w:hAnsi="黑体" w:eastAsia="黑体" w:cs="黑体"/>
                <w:sz w:val="24"/>
                <w:szCs w:val="24"/>
              </w:rPr>
            </w:pPr>
            <w:r>
              <w:rPr>
                <w:rFonts w:hint="eastAsia" w:ascii="黑体" w:hAnsi="黑体" w:eastAsia="黑体" w:cs="黑体"/>
                <w:sz w:val="24"/>
                <w:szCs w:val="24"/>
              </w:rPr>
              <w:t>有机化学、化工原理、造纸植物资源化学</w:t>
            </w:r>
          </w:p>
        </w:tc>
      </w:tr>
      <w:tr w14:paraId="168D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33902AC2">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适用专业（类）</w:t>
            </w:r>
          </w:p>
        </w:tc>
        <w:tc>
          <w:tcPr>
            <w:tcW w:w="6804" w:type="dxa"/>
            <w:gridSpan w:val="3"/>
            <w:vAlign w:val="center"/>
          </w:tcPr>
          <w:p w14:paraId="7FA58564">
            <w:pPr>
              <w:adjustRightInd w:val="0"/>
              <w:snapToGrid w:val="0"/>
              <w:jc w:val="center"/>
              <w:rPr>
                <w:rFonts w:hint="eastAsia" w:ascii="黑体" w:hAnsi="黑体" w:eastAsia="黑体" w:cs="黑体"/>
                <w:b/>
                <w:sz w:val="24"/>
                <w:szCs w:val="24"/>
              </w:rPr>
            </w:pPr>
            <w:r>
              <w:rPr>
                <w:rFonts w:hint="eastAsia" w:ascii="黑体" w:hAnsi="黑体" w:eastAsia="黑体" w:cs="黑体"/>
                <w:sz w:val="24"/>
                <w:szCs w:val="24"/>
              </w:rPr>
              <w:t>轻化工程（制浆造纸工程方向）</w:t>
            </w:r>
          </w:p>
        </w:tc>
      </w:tr>
    </w:tbl>
    <w:p w14:paraId="54EA0D92">
      <w:pPr>
        <w:spacing w:line="360" w:lineRule="auto"/>
        <w:ind w:firstLine="482" w:firstLineChars="200"/>
        <w:rPr>
          <w:rFonts w:hint="eastAsia" w:ascii="黑体" w:hAnsi="黑体" w:eastAsia="黑体" w:cs="黑体"/>
          <w:b w:val="0"/>
          <w:bCs/>
          <w:color w:val="FF0000"/>
          <w:sz w:val="24"/>
        </w:rPr>
      </w:pPr>
      <w:r>
        <w:rPr>
          <w:rFonts w:hint="eastAsia" w:ascii="黑体" w:hAnsi="黑体" w:eastAsia="黑体" w:cs="黑体"/>
          <w:b/>
          <w:sz w:val="24"/>
        </w:rPr>
        <w:t>二、课程描述及目标</w:t>
      </w:r>
    </w:p>
    <w:p w14:paraId="6F68C7C0">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（一）课程简介</w:t>
      </w:r>
    </w:p>
    <w:p w14:paraId="04CD78C5">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物质资源化利用技术》是轻化工程（制浆造纸工程方向）专业选修课程。本课程主要授课内容为生物质特征、能源化利用、热化学转化、生化转化、生物质生产化学品炼制、新型生物质基材料及应用，对生物质资源化利用过程中各种技术的原理、工艺、特点和应用案例进行介绍，使学生系统了解生物质资源化利用过程中技术的基本原理、生产方法、生产工艺及设备，熟悉国内外生物质资源化利用的技术进展、新产品、新设备及推广应用情况。通过本课程的学习，使学生树立资源可持续利用的观念，学生工作后能够独立从事与造纸行业相关的生物质产品的工艺制定、工程设计以及相应的教学和科研工作。</w:t>
      </w:r>
    </w:p>
    <w:p w14:paraId="095C78D4">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（二）教学目标</w:t>
      </w:r>
    </w:p>
    <w:p w14:paraId="54B1209F">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通过本课程，学生将掌握生物质的组成、特点和性质，能够与造纸专业知识相结合，将所学知识用于造纸工程中剩余物的解决方案的设计及加工过程中的其他问题。掌握生物质转化技术的分类、化学反应基本原理、生产方法、工艺和相关设备，熟悉国内外生物质资源化利用的技术进展，掌握生物质资源化利用技术的产品特点，能够针对不同的生物质原料和产品要求选择合适的转化技术，解决转化技术过程中的设计问题，并将工程过程设计的更加经济环保。掌握新型生物质基材料及应用，熟悉国内外生物质资源化利用的新产品，新设备和推广应用情况。具备进行相关生物质产品的工艺制定和设计，能够根据生物质原材料进行相关工艺设计和产品分析，进行造纸工艺环保护问题的评价及解决方案的设计能力。</w:t>
      </w:r>
    </w:p>
    <w:p w14:paraId="3B33A7E1">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课程目标1：掌握轻化工程设计和产品开发全周期、全流程的基本开发和设计方法和技术，了解影响设计目标和技术方案的各种因素。</w:t>
      </w:r>
    </w:p>
    <w:p w14:paraId="6D4DA382">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课程目标2：能够针对特定需求，完成单元（部件）的设计；能够进行系统或工艺流程设计，在设计中体现创新性。在设计中能够从健康与安全、全生命周期成本与净零碳要求、法律与伦理、社会与文化等角度考虑可行性。</w:t>
      </w:r>
    </w:p>
    <w:p w14:paraId="21CFF36A">
      <w:pPr>
        <w:spacing w:line="360" w:lineRule="auto"/>
        <w:ind w:firstLine="480" w:firstLineChars="200"/>
        <w:rPr>
          <w:rFonts w:hint="eastAsia" w:ascii="黑体" w:hAnsi="黑体" w:eastAsia="黑体" w:cs="黑体"/>
          <w:b w:val="0"/>
          <w:bCs/>
          <w:color w:val="FF0000"/>
          <w:sz w:val="24"/>
        </w:rPr>
      </w:pPr>
      <w:r>
        <w:rPr>
          <w:rFonts w:hint="eastAsia" w:ascii="黑体" w:hAnsi="黑体" w:eastAsia="黑体" w:cs="黑体"/>
          <w:b w:val="0"/>
          <w:bCs/>
          <w:sz w:val="24"/>
        </w:rPr>
        <w:t>三、课程目标对毕业要求的支撑关系</w:t>
      </w:r>
    </w:p>
    <w:tbl>
      <w:tblPr>
        <w:tblStyle w:val="7"/>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669"/>
        <w:gridCol w:w="1701"/>
        <w:gridCol w:w="1134"/>
      </w:tblGrid>
      <w:tr w14:paraId="57D0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tblHeader/>
          <w:jc w:val="center"/>
        </w:trPr>
        <w:tc>
          <w:tcPr>
            <w:tcW w:w="5669" w:type="dxa"/>
            <w:tcMar>
              <w:top w:w="57" w:type="dxa"/>
              <w:bottom w:w="57" w:type="dxa"/>
            </w:tcMar>
            <w:vAlign w:val="center"/>
          </w:tcPr>
          <w:p w14:paraId="5939718C">
            <w:pPr>
              <w:jc w:val="center"/>
              <w:rPr>
                <w:rFonts w:hint="eastAsia" w:ascii="黑体" w:hAnsi="黑体" w:eastAsia="黑体" w:cs="黑体"/>
                <w:b/>
                <w:sz w:val="24"/>
                <w:szCs w:val="24"/>
              </w:rPr>
            </w:pPr>
            <w:r>
              <w:rPr>
                <w:rFonts w:hint="eastAsia" w:ascii="黑体" w:hAnsi="黑体" w:eastAsia="黑体" w:cs="黑体"/>
                <w:b/>
                <w:sz w:val="24"/>
                <w:szCs w:val="24"/>
              </w:rPr>
              <w:t>毕业要求指标点</w:t>
            </w:r>
          </w:p>
        </w:tc>
        <w:tc>
          <w:tcPr>
            <w:tcW w:w="1701" w:type="dxa"/>
            <w:tcMar>
              <w:top w:w="57" w:type="dxa"/>
              <w:bottom w:w="57" w:type="dxa"/>
            </w:tcMar>
            <w:vAlign w:val="center"/>
          </w:tcPr>
          <w:p w14:paraId="56CBE20F">
            <w:pPr>
              <w:jc w:val="center"/>
              <w:rPr>
                <w:rFonts w:hint="eastAsia" w:ascii="黑体" w:hAnsi="黑体" w:eastAsia="黑体" w:cs="黑体"/>
                <w:b/>
                <w:sz w:val="24"/>
                <w:szCs w:val="24"/>
              </w:rPr>
            </w:pPr>
            <w:r>
              <w:rPr>
                <w:rFonts w:hint="eastAsia" w:ascii="黑体" w:hAnsi="黑体" w:eastAsia="黑体" w:cs="黑体"/>
                <w:b/>
                <w:sz w:val="24"/>
                <w:szCs w:val="24"/>
              </w:rPr>
              <w:t>课程目标</w:t>
            </w:r>
          </w:p>
        </w:tc>
        <w:tc>
          <w:tcPr>
            <w:tcW w:w="1134" w:type="dxa"/>
            <w:tcMar>
              <w:top w:w="57" w:type="dxa"/>
              <w:bottom w:w="57" w:type="dxa"/>
            </w:tcMar>
            <w:vAlign w:val="center"/>
          </w:tcPr>
          <w:p w14:paraId="534A0921">
            <w:pPr>
              <w:jc w:val="center"/>
              <w:rPr>
                <w:rFonts w:hint="eastAsia" w:ascii="黑体" w:hAnsi="黑体" w:eastAsia="黑体" w:cs="黑体"/>
                <w:b/>
                <w:sz w:val="24"/>
                <w:szCs w:val="24"/>
              </w:rPr>
            </w:pPr>
            <w:r>
              <w:rPr>
                <w:rFonts w:hint="eastAsia" w:ascii="黑体" w:hAnsi="黑体" w:eastAsia="黑体" w:cs="黑体"/>
                <w:b/>
                <w:sz w:val="24"/>
                <w:szCs w:val="24"/>
                <w:highlight w:val="none"/>
              </w:rPr>
              <w:t>权重</w:t>
            </w:r>
          </w:p>
        </w:tc>
      </w:tr>
      <w:tr w14:paraId="2F5E4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669" w:type="dxa"/>
            <w:tcMar>
              <w:top w:w="57" w:type="dxa"/>
              <w:bottom w:w="57" w:type="dxa"/>
            </w:tcMar>
            <w:vAlign w:val="center"/>
          </w:tcPr>
          <w:p w14:paraId="09CE5D2C">
            <w:pPr>
              <w:spacing w:line="360" w:lineRule="auto"/>
              <w:ind w:firstLine="420" w:firstLineChars="2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3-1：掌握轻化工程设计和产品开发全周期、全流程的基本开发和设计方法和技术，了解影响设计目标和技术方案的各种因素。</w:t>
            </w:r>
          </w:p>
        </w:tc>
        <w:tc>
          <w:tcPr>
            <w:tcW w:w="1701" w:type="dxa"/>
            <w:tcMar>
              <w:top w:w="57" w:type="dxa"/>
              <w:bottom w:w="57" w:type="dxa"/>
            </w:tcMar>
            <w:vAlign w:val="center"/>
          </w:tcPr>
          <w:p w14:paraId="55BCD5FF">
            <w:pPr>
              <w:spacing w:line="360" w:lineRule="auto"/>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课程目标1</w:t>
            </w:r>
          </w:p>
        </w:tc>
        <w:tc>
          <w:tcPr>
            <w:tcW w:w="1134" w:type="dxa"/>
            <w:tcMar>
              <w:top w:w="57" w:type="dxa"/>
              <w:bottom w:w="57" w:type="dxa"/>
            </w:tcMar>
            <w:vAlign w:val="center"/>
          </w:tcPr>
          <w:p w14:paraId="5C4845DB">
            <w:pPr>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20%</w:t>
            </w:r>
          </w:p>
        </w:tc>
      </w:tr>
      <w:tr w14:paraId="47E3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669" w:type="dxa"/>
            <w:tcMar>
              <w:top w:w="57" w:type="dxa"/>
              <w:bottom w:w="57" w:type="dxa"/>
            </w:tcMar>
            <w:vAlign w:val="center"/>
          </w:tcPr>
          <w:p w14:paraId="6BC72917">
            <w:pPr>
              <w:spacing w:line="360" w:lineRule="auto"/>
              <w:ind w:firstLine="420" w:firstLineChars="2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-2：能够针对特定需求，完成单元（部件）的设计；能够进行系统或工艺流程设计，在设计中体现创新性。在设计中能够从健康与安全、全生命周期成本与净零碳要求、法律与伦理、社会与文化等角度考虑可行性。</w:t>
            </w:r>
          </w:p>
        </w:tc>
        <w:tc>
          <w:tcPr>
            <w:tcW w:w="1701" w:type="dxa"/>
            <w:tcMar>
              <w:top w:w="57" w:type="dxa"/>
              <w:bottom w:w="57" w:type="dxa"/>
            </w:tcMar>
            <w:vAlign w:val="center"/>
          </w:tcPr>
          <w:p w14:paraId="37E3D761">
            <w:pPr>
              <w:spacing w:line="360" w:lineRule="auto"/>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课程目标2</w:t>
            </w:r>
          </w:p>
        </w:tc>
        <w:tc>
          <w:tcPr>
            <w:tcW w:w="1134" w:type="dxa"/>
            <w:tcMar>
              <w:top w:w="57" w:type="dxa"/>
              <w:bottom w:w="57" w:type="dxa"/>
            </w:tcMar>
            <w:vAlign w:val="center"/>
          </w:tcPr>
          <w:p w14:paraId="6FBFDF39">
            <w:pPr>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80%</w:t>
            </w:r>
          </w:p>
        </w:tc>
      </w:tr>
    </w:tbl>
    <w:p w14:paraId="7D8D6331">
      <w:pPr>
        <w:numPr>
          <w:ilvl w:val="0"/>
          <w:numId w:val="1"/>
        </w:numPr>
        <w:spacing w:line="360" w:lineRule="auto"/>
        <w:ind w:firstLine="482" w:firstLineChars="200"/>
        <w:rPr>
          <w:rFonts w:hint="eastAsia" w:ascii="黑体" w:hAnsi="黑体" w:eastAsia="黑体" w:cs="黑体"/>
          <w:b/>
          <w:sz w:val="24"/>
        </w:rPr>
      </w:pPr>
      <w:r>
        <w:rPr>
          <w:rFonts w:hint="eastAsia" w:ascii="黑体" w:hAnsi="黑体" w:eastAsia="黑体" w:cs="黑体"/>
          <w:b/>
          <w:sz w:val="24"/>
        </w:rPr>
        <w:t>教学方式与方法</w:t>
      </w:r>
    </w:p>
    <w:p w14:paraId="7AE95838">
      <w:pPr>
        <w:spacing w:line="360" w:lineRule="auto"/>
        <w:ind w:firstLine="480" w:firstLineChars="200"/>
        <w:rPr>
          <w:rFonts w:hint="default" w:eastAsia="宋体"/>
          <w:sz w:val="24"/>
          <w:lang w:val="en-US" w:eastAsia="zh-CN"/>
        </w:rPr>
      </w:pPr>
      <w:bookmarkStart w:id="0" w:name="_Hlk5205911"/>
      <w:r>
        <w:rPr>
          <w:rFonts w:hint="eastAsia"/>
          <w:sz w:val="24"/>
          <w:lang w:val="en-US" w:eastAsia="zh-CN"/>
        </w:rPr>
        <w:t>采取混合式教学方法，主要包括</w:t>
      </w:r>
      <w:r>
        <w:rPr>
          <w:rFonts w:hint="eastAsia"/>
          <w:sz w:val="24"/>
        </w:rPr>
        <w:t>讲授式教学</w:t>
      </w:r>
      <w:r>
        <w:rPr>
          <w:rFonts w:hint="eastAsia"/>
          <w:sz w:val="24"/>
          <w:lang w:eastAsia="zh-CN"/>
        </w:rPr>
        <w:t>、</w:t>
      </w:r>
      <w:r>
        <w:rPr>
          <w:rFonts w:hint="eastAsia"/>
          <w:sz w:val="24"/>
          <w:lang w:val="en-US" w:eastAsia="zh-CN"/>
        </w:rPr>
        <w:t>启发式教学与讨论式教学。</w:t>
      </w:r>
    </w:p>
    <w:p w14:paraId="5018C377">
      <w:pPr>
        <w:spacing w:line="360" w:lineRule="auto"/>
        <w:ind w:firstLine="480" w:firstLineChars="200"/>
        <w:rPr>
          <w:rFonts w:hint="eastAsia"/>
          <w:sz w:val="24"/>
        </w:rPr>
      </w:pPr>
      <w:r>
        <w:rPr>
          <w:rFonts w:hint="eastAsia"/>
          <w:sz w:val="24"/>
        </w:rPr>
        <w:t>讲授式教学</w:t>
      </w:r>
      <w:r>
        <w:rPr>
          <w:rFonts w:hint="eastAsia"/>
          <w:sz w:val="24"/>
          <w:lang w:eastAsia="zh-CN"/>
        </w:rPr>
        <w:t>，</w:t>
      </w:r>
      <w:r>
        <w:rPr>
          <w:rFonts w:hint="eastAsia"/>
          <w:sz w:val="24"/>
          <w:lang w:val="en-US" w:eastAsia="zh-CN"/>
        </w:rPr>
        <w:t>主要</w:t>
      </w:r>
      <w:r>
        <w:rPr>
          <w:rFonts w:hint="eastAsia"/>
          <w:sz w:val="24"/>
        </w:rPr>
        <w:t>通过口头语言向学生传授知识，教学语言准确、严谨、逻辑性强；讲授过程善于运用各种教学手段和方法使讲授内容条理清楚，主次分明，重点突出，深入浅出，易于理解。启发式</w:t>
      </w:r>
      <w:r>
        <w:rPr>
          <w:rFonts w:hint="eastAsia"/>
          <w:sz w:val="24"/>
          <w:lang w:val="en-US" w:eastAsia="zh-CN"/>
        </w:rPr>
        <w:t>教学则</w:t>
      </w:r>
      <w:r>
        <w:rPr>
          <w:rFonts w:hint="eastAsia"/>
          <w:sz w:val="24"/>
        </w:rPr>
        <w:t>根据教学目标、教学内容、学生的知识基础、学习的规律，运用多种教学手段，采用启发、引导方法传授知识、促进转化。重点在于启发学生的思维，调动学生的学习主动性和积极性，促使他们自发、自愿学习。讨论式教学</w:t>
      </w:r>
      <w:r>
        <w:rPr>
          <w:rFonts w:hint="eastAsia"/>
          <w:sz w:val="24"/>
          <w:lang w:val="en-US" w:eastAsia="zh-CN"/>
        </w:rPr>
        <w:t>则是将</w:t>
      </w:r>
      <w:r>
        <w:rPr>
          <w:rFonts w:hint="eastAsia"/>
          <w:sz w:val="24"/>
        </w:rPr>
        <w:t>课程中的部分重点和难点内容在老师的指导下让学生自学、充分讨论、最后达成共识，掌握知识，体现了老师为主导，学生为主体的教育思想。</w:t>
      </w:r>
    </w:p>
    <w:p w14:paraId="2801E5A7">
      <w:pPr>
        <w:numPr>
          <w:ilvl w:val="0"/>
          <w:numId w:val="2"/>
        </w:numPr>
        <w:spacing w:line="360" w:lineRule="auto"/>
        <w:ind w:firstLine="482" w:firstLineChars="200"/>
        <w:rPr>
          <w:rFonts w:hint="eastAsia" w:ascii="黑体" w:hAnsi="黑体" w:eastAsia="黑体" w:cs="黑体"/>
          <w:b/>
          <w:sz w:val="24"/>
        </w:rPr>
      </w:pPr>
      <w:r>
        <w:rPr>
          <w:rFonts w:hint="eastAsia" w:ascii="黑体" w:hAnsi="黑体" w:eastAsia="黑体" w:cs="黑体"/>
          <w:b/>
          <w:sz w:val="24"/>
        </w:rPr>
        <w:t>教学重点与难点</w:t>
      </w:r>
    </w:p>
    <w:p w14:paraId="7DAE0A1B">
      <w:pPr>
        <w:numPr>
          <w:numId w:val="0"/>
        </w:numPr>
        <w:spacing w:line="360" w:lineRule="auto"/>
        <w:ind w:firstLine="482" w:firstLineChars="200"/>
        <w:rPr>
          <w:rFonts w:hint="eastAsia" w:ascii="仿宋_GB2312" w:hAnsi="仿宋_GB2312" w:eastAsia="仿宋_GB2312" w:cs="仿宋_GB2312"/>
          <w:color w:val="auto"/>
          <w:sz w:val="24"/>
          <w:szCs w:val="24"/>
          <w:lang w:val="en-US" w:eastAsia="zh-CN"/>
        </w:rPr>
      </w:pPr>
      <w:r>
        <w:rPr>
          <w:rFonts w:hint="eastAsia" w:ascii="黑体" w:hAnsi="黑体" w:eastAsia="黑体" w:cs="黑体"/>
          <w:b/>
          <w:sz w:val="24"/>
        </w:rPr>
        <w:t>（一）教学重点</w:t>
      </w:r>
    </w:p>
    <w:p w14:paraId="72B9CB7A">
      <w:pPr>
        <w:tabs>
          <w:tab w:val="left" w:pos="672"/>
        </w:tabs>
        <w:spacing w:line="400" w:lineRule="exact"/>
        <w:ind w:firstLine="480" w:firstLineChars="200"/>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第一章 绪论：生物质资源的转化利用方式</w:t>
      </w:r>
    </w:p>
    <w:p w14:paraId="4587C48E">
      <w:pPr>
        <w:tabs>
          <w:tab w:val="left" w:pos="672"/>
        </w:tabs>
        <w:spacing w:line="400" w:lineRule="exact"/>
        <w:ind w:firstLine="480" w:firstLineChars="200"/>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第二章 生物质的组成与性质：生物质的化学组成及热化学性质</w:t>
      </w:r>
    </w:p>
    <w:p w14:paraId="1C1F43A0">
      <w:pPr>
        <w:tabs>
          <w:tab w:val="left" w:pos="672"/>
        </w:tabs>
        <w:spacing w:line="400" w:lineRule="exact"/>
        <w:ind w:firstLine="480" w:firstLineChars="200"/>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第三章 生物质直接液化技术：生物质直接液化原理</w:t>
      </w:r>
    </w:p>
    <w:p w14:paraId="7AE07757">
      <w:pPr>
        <w:tabs>
          <w:tab w:val="left" w:pos="672"/>
        </w:tabs>
        <w:spacing w:line="400" w:lineRule="exact"/>
        <w:ind w:firstLine="480" w:firstLineChars="200"/>
        <w:jc w:val="both"/>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第四章 林木生物质快速热解技术：快速热解反应机理</w:t>
      </w:r>
    </w:p>
    <w:p w14:paraId="4551C76C">
      <w:pPr>
        <w:tabs>
          <w:tab w:val="left" w:pos="672"/>
        </w:tabs>
        <w:spacing w:line="400" w:lineRule="exact"/>
        <w:ind w:firstLine="480" w:firstLineChars="200"/>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第五章 林木生物质气化转化技术：生物质气化转化技术原理；气化设备</w:t>
      </w:r>
    </w:p>
    <w:p w14:paraId="085DC1CE">
      <w:pPr>
        <w:tabs>
          <w:tab w:val="left" w:pos="672"/>
        </w:tabs>
        <w:spacing w:line="400" w:lineRule="exact"/>
        <w:ind w:firstLine="480" w:firstLineChars="200"/>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第六章 生物质生化转化技术：生物乙醇/沼气生产原理及工艺流程</w:t>
      </w:r>
    </w:p>
    <w:p w14:paraId="20A45FC8">
      <w:pPr>
        <w:tabs>
          <w:tab w:val="left" w:pos="672"/>
        </w:tabs>
        <w:spacing w:line="400" w:lineRule="exact"/>
        <w:ind w:firstLine="480" w:firstLineChars="200"/>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第七章 生物质制氢：生物质热化学转化法制氢的原理、过程以及影响因素</w:t>
      </w:r>
    </w:p>
    <w:p w14:paraId="1BD79FEF">
      <w:pPr>
        <w:tabs>
          <w:tab w:val="left" w:pos="672"/>
        </w:tabs>
        <w:spacing w:line="400" w:lineRule="exact"/>
        <w:ind w:firstLine="480" w:firstLineChars="200"/>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第八章 生物质复合材料：纤维素的改性方法及纤维素基复合材料的制备</w:t>
      </w:r>
    </w:p>
    <w:p w14:paraId="3D141CD0">
      <w:pPr>
        <w:tabs>
          <w:tab w:val="left" w:pos="672"/>
        </w:tabs>
        <w:spacing w:line="400" w:lineRule="exact"/>
        <w:ind w:firstLine="480" w:firstLineChars="200"/>
        <w:jc w:val="both"/>
        <w:rPr>
          <w:rFonts w:hint="eastAsia" w:ascii="黑体" w:hAnsi="黑体" w:eastAsia="黑体" w:cs="黑体"/>
          <w:sz w:val="24"/>
        </w:rPr>
      </w:pPr>
      <w:r>
        <w:rPr>
          <w:rFonts w:hint="eastAsia" w:ascii="仿宋_GB2312" w:hAnsi="仿宋_GB2312" w:eastAsia="仿宋_GB2312" w:cs="仿宋_GB2312"/>
          <w:color w:val="auto"/>
          <w:sz w:val="24"/>
          <w:szCs w:val="24"/>
          <w:lang w:val="en-US" w:eastAsia="zh-CN"/>
        </w:rPr>
        <w:t>第九章 生物质能发电技术：生物质燃烧特性；生物质气化发电过程</w:t>
      </w:r>
    </w:p>
    <w:p w14:paraId="6BCC8E48">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（二）教学难点</w:t>
      </w:r>
    </w:p>
    <w:bookmarkEnd w:id="0"/>
    <w:p w14:paraId="77740667">
      <w:pPr>
        <w:tabs>
          <w:tab w:val="left" w:pos="672"/>
        </w:tabs>
        <w:spacing w:line="400" w:lineRule="exact"/>
        <w:ind w:firstLine="480" w:firstLineChars="200"/>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第一章 绪论：生物质利用技术的复杂性</w:t>
      </w:r>
    </w:p>
    <w:p w14:paraId="23B232E1">
      <w:pPr>
        <w:tabs>
          <w:tab w:val="left" w:pos="672"/>
        </w:tabs>
        <w:spacing w:line="400" w:lineRule="exact"/>
        <w:ind w:firstLine="480" w:firstLineChars="200"/>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第二章 生物质的组成与性质：生物质及其三大组分的热化学特性</w:t>
      </w:r>
    </w:p>
    <w:p w14:paraId="168AA37C">
      <w:pPr>
        <w:tabs>
          <w:tab w:val="left" w:pos="672"/>
        </w:tabs>
        <w:spacing w:line="400" w:lineRule="exact"/>
        <w:ind w:firstLine="480" w:firstLineChars="200"/>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第三章 液化技术：生物质热液化术原理</w:t>
      </w:r>
    </w:p>
    <w:p w14:paraId="488791E1">
      <w:pPr>
        <w:tabs>
          <w:tab w:val="left" w:pos="672"/>
        </w:tabs>
        <w:spacing w:line="400" w:lineRule="exact"/>
        <w:ind w:firstLine="480" w:firstLineChars="200"/>
        <w:jc w:val="both"/>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第四章 林木生物质快速热解技术：快速热解反应动力学</w:t>
      </w:r>
    </w:p>
    <w:p w14:paraId="375D4AC9">
      <w:pPr>
        <w:tabs>
          <w:tab w:val="left" w:pos="672"/>
        </w:tabs>
        <w:spacing w:line="400" w:lineRule="exact"/>
        <w:ind w:firstLine="480" w:firstLineChars="200"/>
        <w:jc w:val="both"/>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第五章 林木生物质气化转化技术：生物质气化转化反应历程</w:t>
      </w:r>
    </w:p>
    <w:p w14:paraId="17AA3CC9">
      <w:pPr>
        <w:tabs>
          <w:tab w:val="left" w:pos="672"/>
        </w:tabs>
        <w:spacing w:line="400" w:lineRule="exact"/>
        <w:ind w:firstLine="480" w:firstLineChars="200"/>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第六章 生物质生化转化技术：生物乙醇/沼气的产业化技术瓶颈</w:t>
      </w:r>
    </w:p>
    <w:p w14:paraId="2963F169">
      <w:pPr>
        <w:tabs>
          <w:tab w:val="left" w:pos="672"/>
        </w:tabs>
        <w:spacing w:line="400" w:lineRule="exact"/>
        <w:ind w:firstLine="480" w:firstLineChars="200"/>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第七章 生物质制氢：生物质热化学转化法制氢的工艺原理</w:t>
      </w:r>
    </w:p>
    <w:p w14:paraId="0D83CBBD">
      <w:pPr>
        <w:tabs>
          <w:tab w:val="left" w:pos="672"/>
        </w:tabs>
        <w:spacing w:line="400" w:lineRule="exact"/>
        <w:ind w:firstLine="480" w:firstLineChars="200"/>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第八章 生物质复合材料：木质素的改性及木质素高分子材料的制备</w:t>
      </w:r>
    </w:p>
    <w:p w14:paraId="147E9BF9">
      <w:pPr>
        <w:tabs>
          <w:tab w:val="left" w:pos="672"/>
        </w:tabs>
        <w:spacing w:line="400" w:lineRule="exact"/>
        <w:ind w:firstLine="480" w:firstLineChars="200"/>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第九章 生物质能发电技术：生物质气化发电过程</w:t>
      </w:r>
    </w:p>
    <w:p w14:paraId="6EF0917F">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六、教学内容、基本要求与学时分配</w:t>
      </w:r>
      <w:r>
        <w:rPr>
          <w:rFonts w:hint="eastAsia" w:ascii="黑体" w:hAnsi="黑体" w:eastAsia="黑体" w:cs="黑体"/>
          <w:b/>
          <w:sz w:val="24"/>
          <w:lang w:eastAsia="zh-CN"/>
        </w:rPr>
        <w:t>（黑体，小四号）</w:t>
      </w:r>
    </w:p>
    <w:tbl>
      <w:tblPr>
        <w:tblStyle w:val="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77"/>
        <w:gridCol w:w="2305"/>
        <w:gridCol w:w="2358"/>
        <w:gridCol w:w="709"/>
        <w:gridCol w:w="975"/>
        <w:gridCol w:w="1581"/>
      </w:tblGrid>
      <w:tr w14:paraId="25E36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tblHeader/>
          <w:jc w:val="center"/>
        </w:trPr>
        <w:tc>
          <w:tcPr>
            <w:tcW w:w="577" w:type="dxa"/>
            <w:tcMar>
              <w:top w:w="57" w:type="dxa"/>
              <w:bottom w:w="57" w:type="dxa"/>
            </w:tcMar>
            <w:vAlign w:val="center"/>
          </w:tcPr>
          <w:p w14:paraId="33475712">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序号</w:t>
            </w:r>
          </w:p>
        </w:tc>
        <w:tc>
          <w:tcPr>
            <w:tcW w:w="2305" w:type="dxa"/>
            <w:tcMar>
              <w:top w:w="57" w:type="dxa"/>
              <w:bottom w:w="57" w:type="dxa"/>
            </w:tcMar>
            <w:vAlign w:val="center"/>
          </w:tcPr>
          <w:p w14:paraId="1D3F16FA">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教学内容</w:t>
            </w:r>
          </w:p>
        </w:tc>
        <w:tc>
          <w:tcPr>
            <w:tcW w:w="2358" w:type="dxa"/>
            <w:tcMar>
              <w:top w:w="57" w:type="dxa"/>
              <w:bottom w:w="57" w:type="dxa"/>
            </w:tcMar>
            <w:vAlign w:val="center"/>
          </w:tcPr>
          <w:p w14:paraId="1BAD775B">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基本要求</w:t>
            </w:r>
          </w:p>
        </w:tc>
        <w:tc>
          <w:tcPr>
            <w:tcW w:w="709" w:type="dxa"/>
            <w:tcMar>
              <w:top w:w="57" w:type="dxa"/>
              <w:bottom w:w="57" w:type="dxa"/>
            </w:tcMar>
            <w:vAlign w:val="center"/>
          </w:tcPr>
          <w:p w14:paraId="0D09B9CF">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学时</w:t>
            </w:r>
          </w:p>
        </w:tc>
        <w:tc>
          <w:tcPr>
            <w:tcW w:w="975" w:type="dxa"/>
            <w:tcMar>
              <w:top w:w="57" w:type="dxa"/>
              <w:bottom w:w="57" w:type="dxa"/>
            </w:tcMar>
            <w:vAlign w:val="center"/>
          </w:tcPr>
          <w:p w14:paraId="0F3987B7">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教学</w:t>
            </w:r>
          </w:p>
          <w:p w14:paraId="4EA00E31">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方式</w:t>
            </w:r>
          </w:p>
        </w:tc>
        <w:tc>
          <w:tcPr>
            <w:tcW w:w="1581" w:type="dxa"/>
            <w:tcMar>
              <w:top w:w="57" w:type="dxa"/>
              <w:bottom w:w="57" w:type="dxa"/>
            </w:tcMar>
            <w:vAlign w:val="center"/>
          </w:tcPr>
          <w:p w14:paraId="16E60965">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对应课程目标</w:t>
            </w:r>
          </w:p>
        </w:tc>
      </w:tr>
      <w:tr w14:paraId="00B7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3BFFFA69">
            <w:pPr>
              <w:spacing w:line="360" w:lineRule="auto"/>
              <w:ind w:firstLine="210" w:firstLineChars="1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2305" w:type="dxa"/>
            <w:tcMar>
              <w:top w:w="57" w:type="dxa"/>
              <w:bottom w:w="57" w:type="dxa"/>
            </w:tcMar>
            <w:vAlign w:val="center"/>
          </w:tcPr>
          <w:p w14:paraId="062038DC">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第1章 绪论</w:t>
            </w:r>
          </w:p>
        </w:tc>
        <w:tc>
          <w:tcPr>
            <w:tcW w:w="2358" w:type="dxa"/>
            <w:tcMar>
              <w:top w:w="57" w:type="dxa"/>
              <w:bottom w:w="57" w:type="dxa"/>
            </w:tcMar>
            <w:vAlign w:val="center"/>
          </w:tcPr>
          <w:p w14:paraId="251C3E8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了解生物质资源的特点与分类、生物质开发与利用的现状及发展趋势；掌握当前生物质的能源、化学品、材料转化利用技术。</w:t>
            </w:r>
          </w:p>
        </w:tc>
        <w:tc>
          <w:tcPr>
            <w:tcW w:w="709" w:type="dxa"/>
            <w:tcMar>
              <w:top w:w="57" w:type="dxa"/>
              <w:bottom w:w="57" w:type="dxa"/>
            </w:tcMar>
            <w:vAlign w:val="center"/>
          </w:tcPr>
          <w:p w14:paraId="5276A92C">
            <w:pPr>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975" w:type="dxa"/>
            <w:tcMar>
              <w:top w:w="57" w:type="dxa"/>
              <w:bottom w:w="57" w:type="dxa"/>
            </w:tcMar>
            <w:vAlign w:val="center"/>
          </w:tcPr>
          <w:p w14:paraId="4B9F5077">
            <w:pPr>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讲授</w:t>
            </w:r>
          </w:p>
        </w:tc>
        <w:tc>
          <w:tcPr>
            <w:tcW w:w="1581" w:type="dxa"/>
            <w:tcMar>
              <w:top w:w="57" w:type="dxa"/>
              <w:bottom w:w="57" w:type="dxa"/>
            </w:tcMar>
            <w:vAlign w:val="center"/>
          </w:tcPr>
          <w:p w14:paraId="2DA71A44">
            <w:pPr>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课程目标1</w:t>
            </w:r>
          </w:p>
        </w:tc>
      </w:tr>
      <w:tr w14:paraId="52BEA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66C5A009">
            <w:pPr>
              <w:spacing w:line="360" w:lineRule="auto"/>
              <w:ind w:firstLine="210" w:firstLineChars="10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2305" w:type="dxa"/>
            <w:tcMar>
              <w:top w:w="57" w:type="dxa"/>
              <w:bottom w:w="57" w:type="dxa"/>
            </w:tcMar>
            <w:vAlign w:val="center"/>
          </w:tcPr>
          <w:p w14:paraId="7E14E785">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第2章 生物质的组成与性质</w:t>
            </w:r>
          </w:p>
        </w:tc>
        <w:tc>
          <w:tcPr>
            <w:tcW w:w="2358" w:type="dxa"/>
            <w:tcMar>
              <w:top w:w="57" w:type="dxa"/>
              <w:bottom w:w="57" w:type="dxa"/>
            </w:tcMar>
            <w:vAlign w:val="center"/>
          </w:tcPr>
          <w:p w14:paraId="5701EF1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掌握生物质的主要化学组成及其分离、分析方法；了解生物质元素分析与工业分析；了解生物质物理性质、热化学性质。</w:t>
            </w:r>
          </w:p>
        </w:tc>
        <w:tc>
          <w:tcPr>
            <w:tcW w:w="709" w:type="dxa"/>
            <w:tcMar>
              <w:top w:w="57" w:type="dxa"/>
              <w:bottom w:w="57" w:type="dxa"/>
            </w:tcMar>
            <w:vAlign w:val="center"/>
          </w:tcPr>
          <w:p w14:paraId="5AE67E62">
            <w:pPr>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975" w:type="dxa"/>
            <w:tcMar>
              <w:top w:w="57" w:type="dxa"/>
              <w:bottom w:w="57" w:type="dxa"/>
            </w:tcMar>
            <w:vAlign w:val="center"/>
          </w:tcPr>
          <w:p w14:paraId="2F0D38D7">
            <w:pPr>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讲授</w:t>
            </w:r>
          </w:p>
        </w:tc>
        <w:tc>
          <w:tcPr>
            <w:tcW w:w="1581" w:type="dxa"/>
            <w:tcMar>
              <w:top w:w="57" w:type="dxa"/>
              <w:bottom w:w="57" w:type="dxa"/>
            </w:tcMar>
            <w:vAlign w:val="center"/>
          </w:tcPr>
          <w:p w14:paraId="223C318D">
            <w:pPr>
              <w:spacing w:line="360" w:lineRule="auto"/>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课程目标1</w:t>
            </w:r>
          </w:p>
        </w:tc>
      </w:tr>
      <w:tr w14:paraId="06C9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7CB85F43">
            <w:pPr>
              <w:spacing w:line="360" w:lineRule="auto"/>
              <w:ind w:firstLine="210" w:firstLineChars="10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2305" w:type="dxa"/>
            <w:tcMar>
              <w:top w:w="57" w:type="dxa"/>
              <w:bottom w:w="57" w:type="dxa"/>
            </w:tcMar>
            <w:vAlign w:val="center"/>
          </w:tcPr>
          <w:p w14:paraId="222404E7">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第3章 液化技术</w:t>
            </w:r>
          </w:p>
        </w:tc>
        <w:tc>
          <w:tcPr>
            <w:tcW w:w="2358" w:type="dxa"/>
            <w:tcMar>
              <w:top w:w="57" w:type="dxa"/>
              <w:bottom w:w="57" w:type="dxa"/>
            </w:tcMar>
            <w:vAlign w:val="center"/>
          </w:tcPr>
          <w:p w14:paraId="75DB6FB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了解生物质液化转化技术分类及特点；了解生物质液化技术的反应原理及主要影响因素；掌握生物质液化技术的特点产品特性；了解生物质液化产物的应用途径。</w:t>
            </w:r>
          </w:p>
        </w:tc>
        <w:tc>
          <w:tcPr>
            <w:tcW w:w="709" w:type="dxa"/>
            <w:tcMar>
              <w:top w:w="57" w:type="dxa"/>
              <w:bottom w:w="57" w:type="dxa"/>
            </w:tcMar>
            <w:vAlign w:val="center"/>
          </w:tcPr>
          <w:p w14:paraId="67787FA5">
            <w:pPr>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75" w:type="dxa"/>
            <w:tcMar>
              <w:top w:w="57" w:type="dxa"/>
              <w:bottom w:w="57" w:type="dxa"/>
            </w:tcMar>
            <w:vAlign w:val="center"/>
          </w:tcPr>
          <w:p w14:paraId="3003D7C5">
            <w:pPr>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讲授</w:t>
            </w:r>
          </w:p>
        </w:tc>
        <w:tc>
          <w:tcPr>
            <w:tcW w:w="1581" w:type="dxa"/>
            <w:tcMar>
              <w:top w:w="57" w:type="dxa"/>
              <w:bottom w:w="57" w:type="dxa"/>
            </w:tcMar>
            <w:vAlign w:val="center"/>
          </w:tcPr>
          <w:p w14:paraId="11DDAD80">
            <w:pPr>
              <w:spacing w:line="360" w:lineRule="auto"/>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课程目标2</w:t>
            </w:r>
          </w:p>
        </w:tc>
      </w:tr>
      <w:tr w14:paraId="0125A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67BD1BAC">
            <w:pPr>
              <w:spacing w:line="360" w:lineRule="auto"/>
              <w:ind w:firstLine="210" w:firstLineChars="100"/>
              <w:jc w:val="both"/>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2305" w:type="dxa"/>
            <w:tcMar>
              <w:top w:w="57" w:type="dxa"/>
              <w:bottom w:w="57" w:type="dxa"/>
            </w:tcMar>
            <w:vAlign w:val="center"/>
          </w:tcPr>
          <w:p w14:paraId="4292ED2F">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第4章 林木生物质快速热解技术</w:t>
            </w:r>
          </w:p>
        </w:tc>
        <w:tc>
          <w:tcPr>
            <w:tcW w:w="2358" w:type="dxa"/>
            <w:tcMar>
              <w:top w:w="57" w:type="dxa"/>
              <w:bottom w:w="57" w:type="dxa"/>
            </w:tcMar>
            <w:vAlign w:val="center"/>
          </w:tcPr>
          <w:p w14:paraId="449FA10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了解林木生物质快速热解研究现状及发展趋势，掌握快速热解技术原理及主要影响因素；了解产品特点以及应用途径。</w:t>
            </w:r>
          </w:p>
        </w:tc>
        <w:tc>
          <w:tcPr>
            <w:tcW w:w="709" w:type="dxa"/>
            <w:tcMar>
              <w:top w:w="57" w:type="dxa"/>
              <w:bottom w:w="57" w:type="dxa"/>
            </w:tcMar>
            <w:vAlign w:val="center"/>
          </w:tcPr>
          <w:p w14:paraId="2D334DDB">
            <w:pPr>
              <w:spacing w:line="360" w:lineRule="auto"/>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975" w:type="dxa"/>
            <w:tcMar>
              <w:top w:w="57" w:type="dxa"/>
              <w:bottom w:w="57" w:type="dxa"/>
            </w:tcMar>
            <w:vAlign w:val="center"/>
          </w:tcPr>
          <w:p w14:paraId="375C69E0">
            <w:pPr>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讲授</w:t>
            </w:r>
          </w:p>
          <w:p w14:paraId="63730FD8">
            <w:pPr>
              <w:spacing w:line="360" w:lineRule="auto"/>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启发</w:t>
            </w:r>
            <w:bookmarkStart w:id="5" w:name="_GoBack"/>
            <w:bookmarkEnd w:id="5"/>
          </w:p>
        </w:tc>
        <w:tc>
          <w:tcPr>
            <w:tcW w:w="1581" w:type="dxa"/>
            <w:tcMar>
              <w:top w:w="57" w:type="dxa"/>
              <w:bottom w:w="57" w:type="dxa"/>
            </w:tcMar>
            <w:vAlign w:val="center"/>
          </w:tcPr>
          <w:p w14:paraId="2F86F09F">
            <w:pPr>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课程目标2</w:t>
            </w:r>
          </w:p>
        </w:tc>
      </w:tr>
      <w:tr w14:paraId="04B6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1A3ADFDC">
            <w:pPr>
              <w:spacing w:line="360" w:lineRule="auto"/>
              <w:ind w:firstLine="210" w:firstLineChars="100"/>
              <w:jc w:val="both"/>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2305" w:type="dxa"/>
            <w:tcMar>
              <w:top w:w="57" w:type="dxa"/>
              <w:bottom w:w="57" w:type="dxa"/>
            </w:tcMar>
            <w:vAlign w:val="center"/>
          </w:tcPr>
          <w:p w14:paraId="755ABDE4">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第5章 林木生物质气化转化技术</w:t>
            </w:r>
          </w:p>
        </w:tc>
        <w:tc>
          <w:tcPr>
            <w:tcW w:w="2358" w:type="dxa"/>
            <w:tcMar>
              <w:top w:w="57" w:type="dxa"/>
              <w:bottom w:w="57" w:type="dxa"/>
            </w:tcMar>
            <w:vAlign w:val="center"/>
          </w:tcPr>
          <w:p w14:paraId="5CDB548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了解生物质气化转化技术分类及特点；了解生物质气化转化技术的反应原理及主要影响因素；掌握生物质气化转化技术特点与反应设备；了解生物质气化产品的应用途径。</w:t>
            </w:r>
          </w:p>
        </w:tc>
        <w:tc>
          <w:tcPr>
            <w:tcW w:w="709" w:type="dxa"/>
            <w:tcMar>
              <w:top w:w="57" w:type="dxa"/>
              <w:bottom w:w="57" w:type="dxa"/>
            </w:tcMar>
            <w:vAlign w:val="center"/>
          </w:tcPr>
          <w:p w14:paraId="76534E3B">
            <w:pPr>
              <w:spacing w:line="360" w:lineRule="auto"/>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975" w:type="dxa"/>
            <w:tcMar>
              <w:top w:w="57" w:type="dxa"/>
              <w:bottom w:w="57" w:type="dxa"/>
            </w:tcMar>
            <w:vAlign w:val="center"/>
          </w:tcPr>
          <w:p w14:paraId="6B06B3AE">
            <w:pPr>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讲授</w:t>
            </w:r>
          </w:p>
        </w:tc>
        <w:tc>
          <w:tcPr>
            <w:tcW w:w="1581" w:type="dxa"/>
            <w:tcMar>
              <w:top w:w="57" w:type="dxa"/>
              <w:bottom w:w="57" w:type="dxa"/>
            </w:tcMar>
            <w:vAlign w:val="center"/>
          </w:tcPr>
          <w:p w14:paraId="58FACF54">
            <w:pPr>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课程目标2</w:t>
            </w:r>
          </w:p>
        </w:tc>
      </w:tr>
      <w:tr w14:paraId="7BF3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716E5551">
            <w:pPr>
              <w:tabs>
                <w:tab w:val="left" w:pos="256"/>
              </w:tabs>
              <w:spacing w:line="360" w:lineRule="auto"/>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2305" w:type="dxa"/>
            <w:tcMar>
              <w:top w:w="57" w:type="dxa"/>
              <w:bottom w:w="57" w:type="dxa"/>
            </w:tcMar>
            <w:vAlign w:val="center"/>
          </w:tcPr>
          <w:p w14:paraId="7B3F20DC">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第6章  生物质生化转化技术</w:t>
            </w:r>
          </w:p>
        </w:tc>
        <w:tc>
          <w:tcPr>
            <w:tcW w:w="2358" w:type="dxa"/>
            <w:tcMar>
              <w:top w:w="57" w:type="dxa"/>
              <w:bottom w:w="57" w:type="dxa"/>
            </w:tcMar>
            <w:vAlign w:val="center"/>
          </w:tcPr>
          <w:p w14:paraId="0A819DF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了解生物质生化转化平台技术及产业化前景；掌握生物沼气、乙醇生产原理及工艺流程；了解生物沼气/乙醇产业发展现状、典型案例分析。</w:t>
            </w:r>
          </w:p>
        </w:tc>
        <w:tc>
          <w:tcPr>
            <w:tcW w:w="709" w:type="dxa"/>
            <w:tcMar>
              <w:top w:w="57" w:type="dxa"/>
              <w:bottom w:w="57" w:type="dxa"/>
            </w:tcMar>
            <w:vAlign w:val="center"/>
          </w:tcPr>
          <w:p w14:paraId="57944142">
            <w:pPr>
              <w:spacing w:line="360" w:lineRule="auto"/>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975" w:type="dxa"/>
            <w:tcMar>
              <w:top w:w="57" w:type="dxa"/>
              <w:bottom w:w="57" w:type="dxa"/>
            </w:tcMar>
            <w:vAlign w:val="center"/>
          </w:tcPr>
          <w:p w14:paraId="42C039FE">
            <w:pPr>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讲授</w:t>
            </w:r>
          </w:p>
        </w:tc>
        <w:tc>
          <w:tcPr>
            <w:tcW w:w="1581" w:type="dxa"/>
            <w:tcMar>
              <w:top w:w="57" w:type="dxa"/>
              <w:bottom w:w="57" w:type="dxa"/>
            </w:tcMar>
            <w:vAlign w:val="center"/>
          </w:tcPr>
          <w:p w14:paraId="31F80160">
            <w:pPr>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课程目标2</w:t>
            </w:r>
          </w:p>
        </w:tc>
      </w:tr>
      <w:tr w14:paraId="74A8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5F6972FE">
            <w:pPr>
              <w:spacing w:line="360" w:lineRule="auto"/>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w:t>
            </w:r>
          </w:p>
        </w:tc>
        <w:tc>
          <w:tcPr>
            <w:tcW w:w="2305" w:type="dxa"/>
            <w:tcMar>
              <w:top w:w="57" w:type="dxa"/>
              <w:bottom w:w="57" w:type="dxa"/>
            </w:tcMar>
            <w:vAlign w:val="center"/>
          </w:tcPr>
          <w:p w14:paraId="6FB3F28A">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第7章  生物质制氢</w:t>
            </w:r>
          </w:p>
        </w:tc>
        <w:tc>
          <w:tcPr>
            <w:tcW w:w="2358" w:type="dxa"/>
            <w:tcMar>
              <w:top w:w="57" w:type="dxa"/>
              <w:bottom w:w="57" w:type="dxa"/>
            </w:tcMar>
            <w:vAlign w:val="center"/>
          </w:tcPr>
          <w:p w14:paraId="5C2212F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了解生物质生化转化平台技术及产业化前景；掌握生物乙醇生产原理及工艺流程；了解生物乙醇产业发展现状、典型案例分析。</w:t>
            </w:r>
          </w:p>
        </w:tc>
        <w:tc>
          <w:tcPr>
            <w:tcW w:w="709" w:type="dxa"/>
            <w:tcMar>
              <w:top w:w="57" w:type="dxa"/>
              <w:bottom w:w="57" w:type="dxa"/>
            </w:tcMar>
            <w:vAlign w:val="center"/>
          </w:tcPr>
          <w:p w14:paraId="7115AABF">
            <w:pPr>
              <w:spacing w:line="360" w:lineRule="auto"/>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75" w:type="dxa"/>
            <w:tcMar>
              <w:top w:w="57" w:type="dxa"/>
              <w:bottom w:w="57" w:type="dxa"/>
            </w:tcMar>
            <w:vAlign w:val="center"/>
          </w:tcPr>
          <w:p w14:paraId="27C10557">
            <w:pPr>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讲授</w:t>
            </w:r>
          </w:p>
        </w:tc>
        <w:tc>
          <w:tcPr>
            <w:tcW w:w="1581" w:type="dxa"/>
            <w:tcMar>
              <w:top w:w="57" w:type="dxa"/>
              <w:bottom w:w="57" w:type="dxa"/>
            </w:tcMar>
            <w:vAlign w:val="center"/>
          </w:tcPr>
          <w:p w14:paraId="243036AD">
            <w:pPr>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课程目标2</w:t>
            </w:r>
          </w:p>
        </w:tc>
      </w:tr>
      <w:tr w14:paraId="4A6C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0CF80C36">
            <w:pPr>
              <w:spacing w:line="360" w:lineRule="auto"/>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w:t>
            </w:r>
          </w:p>
        </w:tc>
        <w:tc>
          <w:tcPr>
            <w:tcW w:w="2305" w:type="dxa"/>
            <w:tcMar>
              <w:top w:w="57" w:type="dxa"/>
              <w:bottom w:w="57" w:type="dxa"/>
            </w:tcMar>
            <w:vAlign w:val="center"/>
          </w:tcPr>
          <w:p w14:paraId="38A74671">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第8章  生物质复合材料</w:t>
            </w:r>
          </w:p>
        </w:tc>
        <w:tc>
          <w:tcPr>
            <w:tcW w:w="2358" w:type="dxa"/>
            <w:tcMar>
              <w:top w:w="57" w:type="dxa"/>
              <w:bottom w:w="57" w:type="dxa"/>
            </w:tcMar>
            <w:vAlign w:val="center"/>
          </w:tcPr>
          <w:p w14:paraId="404F657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了解生物质复合材料的应用背景意义；掌握纤维素、木质素的化学结构及改性方法；了解纤维素基、木素基功能高分子材料的制备、特性应用途径。</w:t>
            </w:r>
          </w:p>
        </w:tc>
        <w:tc>
          <w:tcPr>
            <w:tcW w:w="709" w:type="dxa"/>
            <w:tcMar>
              <w:top w:w="57" w:type="dxa"/>
              <w:bottom w:w="57" w:type="dxa"/>
            </w:tcMar>
            <w:vAlign w:val="center"/>
          </w:tcPr>
          <w:p w14:paraId="459CB7FD">
            <w:pPr>
              <w:spacing w:line="360" w:lineRule="auto"/>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75" w:type="dxa"/>
            <w:tcMar>
              <w:top w:w="57" w:type="dxa"/>
              <w:bottom w:w="57" w:type="dxa"/>
            </w:tcMar>
            <w:vAlign w:val="center"/>
          </w:tcPr>
          <w:p w14:paraId="503D90AA">
            <w:pPr>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讲授</w:t>
            </w:r>
          </w:p>
        </w:tc>
        <w:tc>
          <w:tcPr>
            <w:tcW w:w="1581" w:type="dxa"/>
            <w:tcMar>
              <w:top w:w="57" w:type="dxa"/>
              <w:bottom w:w="57" w:type="dxa"/>
            </w:tcMar>
            <w:vAlign w:val="center"/>
          </w:tcPr>
          <w:p w14:paraId="17FE3DD6">
            <w:pPr>
              <w:spacing w:line="360" w:lineRule="auto"/>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课程目标1</w:t>
            </w:r>
          </w:p>
        </w:tc>
      </w:tr>
      <w:tr w14:paraId="1592F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4E476ADB">
            <w:pPr>
              <w:spacing w:line="360" w:lineRule="auto"/>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9</w:t>
            </w:r>
          </w:p>
        </w:tc>
        <w:tc>
          <w:tcPr>
            <w:tcW w:w="2305" w:type="dxa"/>
            <w:tcMar>
              <w:top w:w="57" w:type="dxa"/>
              <w:bottom w:w="57" w:type="dxa"/>
            </w:tcMar>
            <w:vAlign w:val="center"/>
          </w:tcPr>
          <w:p w14:paraId="41930F72">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第9章  生物质能发电技术</w:t>
            </w:r>
          </w:p>
        </w:tc>
        <w:tc>
          <w:tcPr>
            <w:tcW w:w="2358" w:type="dxa"/>
            <w:tcMar>
              <w:top w:w="57" w:type="dxa"/>
              <w:bottom w:w="57" w:type="dxa"/>
            </w:tcMar>
            <w:vAlign w:val="center"/>
          </w:tcPr>
          <w:p w14:paraId="4A056E4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了解生物质复合材料的应用背景意义；掌握纤维素、木质素的化学结构及改性方法；了解纤维素基、木素基功能高分子材料的制备、特性应用途径。</w:t>
            </w:r>
          </w:p>
        </w:tc>
        <w:tc>
          <w:tcPr>
            <w:tcW w:w="709" w:type="dxa"/>
            <w:tcMar>
              <w:top w:w="57" w:type="dxa"/>
              <w:bottom w:w="57" w:type="dxa"/>
            </w:tcMar>
            <w:vAlign w:val="center"/>
          </w:tcPr>
          <w:p w14:paraId="1F8AFD9E">
            <w:pPr>
              <w:spacing w:line="360" w:lineRule="auto"/>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75" w:type="dxa"/>
            <w:tcMar>
              <w:top w:w="57" w:type="dxa"/>
              <w:bottom w:w="57" w:type="dxa"/>
            </w:tcMar>
            <w:vAlign w:val="center"/>
          </w:tcPr>
          <w:p w14:paraId="2DBAC7B5">
            <w:pPr>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讲授</w:t>
            </w:r>
          </w:p>
        </w:tc>
        <w:tc>
          <w:tcPr>
            <w:tcW w:w="1581" w:type="dxa"/>
            <w:tcMar>
              <w:top w:w="57" w:type="dxa"/>
              <w:bottom w:w="57" w:type="dxa"/>
            </w:tcMar>
            <w:vAlign w:val="center"/>
          </w:tcPr>
          <w:p w14:paraId="66C9AE0D">
            <w:pPr>
              <w:spacing w:line="360" w:lineRule="auto"/>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课程目标2</w:t>
            </w:r>
          </w:p>
        </w:tc>
      </w:tr>
      <w:tr w14:paraId="4AFB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240" w:type="dxa"/>
            <w:gridSpan w:val="3"/>
            <w:tcMar>
              <w:top w:w="57" w:type="dxa"/>
              <w:bottom w:w="57" w:type="dxa"/>
            </w:tcMar>
            <w:vAlign w:val="center"/>
          </w:tcPr>
          <w:p w14:paraId="23E1C502">
            <w:pPr>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合  计</w:t>
            </w:r>
          </w:p>
        </w:tc>
        <w:tc>
          <w:tcPr>
            <w:tcW w:w="709" w:type="dxa"/>
            <w:tcMar>
              <w:top w:w="57" w:type="dxa"/>
              <w:bottom w:w="57" w:type="dxa"/>
            </w:tcMar>
            <w:vAlign w:val="center"/>
          </w:tcPr>
          <w:p w14:paraId="7041E34B">
            <w:pPr>
              <w:jc w:val="center"/>
              <w:rPr>
                <w:rFonts w:hint="default" w:ascii="黑体" w:hAnsi="黑体" w:eastAsia="黑体" w:cs="黑体"/>
                <w:snapToGrid w:val="0"/>
                <w:kern w:val="0"/>
                <w:sz w:val="24"/>
                <w:szCs w:val="24"/>
                <w:lang w:val="en-US" w:eastAsia="zh-CN"/>
              </w:rPr>
            </w:pPr>
            <w:r>
              <w:rPr>
                <w:rFonts w:hint="eastAsia" w:ascii="黑体" w:hAnsi="黑体" w:eastAsia="黑体" w:cs="黑体"/>
                <w:snapToGrid w:val="0"/>
                <w:kern w:val="0"/>
                <w:sz w:val="24"/>
                <w:szCs w:val="24"/>
                <w:lang w:val="en-US" w:eastAsia="zh-CN"/>
              </w:rPr>
              <w:t>16</w:t>
            </w:r>
          </w:p>
        </w:tc>
        <w:tc>
          <w:tcPr>
            <w:tcW w:w="975" w:type="dxa"/>
            <w:tcMar>
              <w:top w:w="57" w:type="dxa"/>
              <w:bottom w:w="57" w:type="dxa"/>
            </w:tcMar>
            <w:vAlign w:val="center"/>
          </w:tcPr>
          <w:p w14:paraId="3ECE4887">
            <w:pPr>
              <w:jc w:val="center"/>
              <w:rPr>
                <w:rFonts w:hint="eastAsia" w:ascii="黑体" w:hAnsi="黑体" w:eastAsia="黑体" w:cs="黑体"/>
                <w:snapToGrid w:val="0"/>
                <w:kern w:val="0"/>
                <w:sz w:val="24"/>
                <w:szCs w:val="24"/>
              </w:rPr>
            </w:pPr>
          </w:p>
        </w:tc>
        <w:tc>
          <w:tcPr>
            <w:tcW w:w="1581" w:type="dxa"/>
            <w:vAlign w:val="center"/>
          </w:tcPr>
          <w:p w14:paraId="1325DCD5">
            <w:pPr>
              <w:jc w:val="center"/>
              <w:rPr>
                <w:rFonts w:hint="eastAsia" w:ascii="黑体" w:hAnsi="黑体" w:eastAsia="黑体" w:cs="黑体"/>
                <w:snapToGrid w:val="0"/>
                <w:kern w:val="0"/>
                <w:sz w:val="24"/>
                <w:szCs w:val="24"/>
              </w:rPr>
            </w:pPr>
          </w:p>
        </w:tc>
      </w:tr>
    </w:tbl>
    <w:p w14:paraId="3D68E3EE">
      <w:pPr>
        <w:spacing w:line="360" w:lineRule="auto"/>
        <w:ind w:firstLine="482" w:firstLineChars="200"/>
        <w:rPr>
          <w:rFonts w:hint="eastAsia" w:ascii="黑体" w:hAnsi="黑体" w:eastAsia="黑体" w:cs="黑体"/>
          <w:b w:val="0"/>
          <w:bCs/>
          <w:color w:val="FF0000"/>
          <w:sz w:val="24"/>
        </w:rPr>
      </w:pPr>
      <w:r>
        <w:rPr>
          <w:rFonts w:hint="eastAsia" w:ascii="黑体" w:hAnsi="黑体" w:eastAsia="黑体" w:cs="黑体"/>
          <w:b/>
          <w:sz w:val="24"/>
          <w:lang w:val="en-US" w:eastAsia="zh-CN"/>
        </w:rPr>
        <w:t>七</w:t>
      </w:r>
      <w:r>
        <w:rPr>
          <w:rFonts w:hint="eastAsia" w:ascii="黑体" w:hAnsi="黑体" w:eastAsia="黑体" w:cs="黑体"/>
          <w:b/>
          <w:sz w:val="24"/>
        </w:rPr>
        <w:t>、学业评价和课程考核</w:t>
      </w:r>
    </w:p>
    <w:p w14:paraId="1ACD4252">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（一）考核类型：</w:t>
      </w:r>
      <w:r>
        <w:rPr>
          <w:rFonts w:hint="eastAsia" w:ascii="仿宋_GB2312" w:hAnsi="仿宋_GB2312" w:eastAsia="仿宋_GB2312" w:cs="仿宋_GB2312"/>
          <w:sz w:val="24"/>
          <w:szCs w:val="24"/>
          <w:lang w:val="en-US" w:eastAsia="zh-CN"/>
        </w:rPr>
        <w:sym w:font="Wingdings" w:char="00A8"/>
      </w:r>
      <w:r>
        <w:rPr>
          <w:rFonts w:hint="eastAsia" w:ascii="仿宋_GB2312" w:hAnsi="仿宋_GB2312" w:eastAsia="仿宋_GB2312" w:cs="仿宋_GB2312"/>
          <w:sz w:val="24"/>
          <w:szCs w:val="24"/>
          <w:lang w:val="en-US" w:eastAsia="zh-CN"/>
        </w:rPr>
        <w:t xml:space="preserve">考试    </w:t>
      </w:r>
      <w:r>
        <w:rPr>
          <w:rFonts w:hint="eastAsia" w:ascii="仿宋_GB2312" w:hAnsi="仿宋_GB2312" w:eastAsia="仿宋_GB2312" w:cs="仿宋_GB2312"/>
          <w:sz w:val="24"/>
          <w:szCs w:val="24"/>
          <w:lang w:val="en-US" w:eastAsia="zh-CN"/>
        </w:rPr>
        <w:sym w:font="Wingdings" w:char="00FE"/>
      </w:r>
      <w:r>
        <w:rPr>
          <w:rFonts w:hint="eastAsia" w:ascii="仿宋_GB2312" w:hAnsi="仿宋_GB2312" w:eastAsia="仿宋_GB2312" w:cs="仿宋_GB2312"/>
          <w:sz w:val="24"/>
          <w:szCs w:val="24"/>
          <w:lang w:val="en-US" w:eastAsia="zh-CN"/>
        </w:rPr>
        <w:t>考查</w:t>
      </w:r>
    </w:p>
    <w:p w14:paraId="42E365F2">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（二）考核方式：</w:t>
      </w:r>
      <w:r>
        <w:rPr>
          <w:rFonts w:hint="eastAsia" w:ascii="仿宋_GB2312" w:hAnsi="仿宋_GB2312" w:eastAsia="仿宋_GB2312" w:cs="仿宋_GB2312"/>
          <w:sz w:val="24"/>
          <w:szCs w:val="24"/>
          <w:lang w:val="en-US" w:eastAsia="zh-CN"/>
        </w:rPr>
        <w:sym w:font="Wingdings" w:char="00FE"/>
      </w:r>
      <w:r>
        <w:rPr>
          <w:rFonts w:hint="eastAsia" w:ascii="仿宋_GB2312" w:hAnsi="仿宋_GB2312" w:eastAsia="仿宋_GB2312" w:cs="仿宋_GB2312"/>
          <w:sz w:val="24"/>
          <w:szCs w:val="24"/>
          <w:lang w:val="en-US" w:eastAsia="zh-CN"/>
        </w:rPr>
        <w:t xml:space="preserve">开卷考试    </w:t>
      </w:r>
      <w:r>
        <w:rPr>
          <w:rFonts w:hint="eastAsia" w:ascii="仿宋_GB2312" w:hAnsi="仿宋_GB2312" w:eastAsia="仿宋_GB2312" w:cs="仿宋_GB2312"/>
          <w:sz w:val="24"/>
          <w:szCs w:val="24"/>
          <w:lang w:val="en-US" w:eastAsia="zh-CN"/>
        </w:rPr>
        <w:sym w:font="Wingdings" w:char="F0A8"/>
      </w:r>
      <w:r>
        <w:rPr>
          <w:rFonts w:hint="eastAsia" w:ascii="仿宋_GB2312" w:hAnsi="仿宋_GB2312" w:eastAsia="仿宋_GB2312" w:cs="仿宋_GB2312"/>
          <w:sz w:val="24"/>
          <w:szCs w:val="24"/>
          <w:lang w:val="en-US" w:eastAsia="zh-CN"/>
        </w:rPr>
        <w:t xml:space="preserve">闭卷考试    </w:t>
      </w:r>
      <w:bookmarkStart w:id="1" w:name="OLE_LINK5"/>
      <w:bookmarkStart w:id="2" w:name="OLE_LINK8"/>
      <w:bookmarkStart w:id="3" w:name="OLE_LINK7"/>
      <w:bookmarkStart w:id="4" w:name="OLE_LINK6"/>
      <w:r>
        <w:rPr>
          <w:rFonts w:hint="eastAsia" w:ascii="仿宋_GB2312" w:hAnsi="仿宋_GB2312" w:eastAsia="仿宋_GB2312" w:cs="仿宋_GB2312"/>
          <w:sz w:val="24"/>
          <w:szCs w:val="24"/>
          <w:lang w:val="en-US" w:eastAsia="zh-CN"/>
        </w:rPr>
        <w:sym w:font="Wingdings" w:char="F0A8"/>
      </w:r>
      <w:r>
        <w:rPr>
          <w:rFonts w:hint="eastAsia" w:ascii="仿宋_GB2312" w:hAnsi="仿宋_GB2312" w:eastAsia="仿宋_GB2312" w:cs="仿宋_GB2312"/>
          <w:sz w:val="24"/>
          <w:szCs w:val="24"/>
          <w:lang w:val="en-US" w:eastAsia="zh-CN"/>
        </w:rPr>
        <w:t>课程论文</w:t>
      </w:r>
      <w:bookmarkEnd w:id="1"/>
      <w:bookmarkEnd w:id="2"/>
      <w:bookmarkEnd w:id="3"/>
      <w:bookmarkEnd w:id="4"/>
    </w:p>
    <w:p w14:paraId="41352449">
      <w:pPr>
        <w:spacing w:line="360" w:lineRule="auto"/>
        <w:ind w:firstLine="2400" w:firstLineChars="10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sym w:font="Wingdings" w:char="F0A8"/>
      </w:r>
      <w:r>
        <w:rPr>
          <w:rFonts w:hint="eastAsia" w:ascii="仿宋_GB2312" w:hAnsi="仿宋_GB2312" w:eastAsia="仿宋_GB2312" w:cs="仿宋_GB2312"/>
          <w:sz w:val="24"/>
          <w:szCs w:val="24"/>
          <w:lang w:val="en-US" w:eastAsia="zh-CN"/>
        </w:rPr>
        <w:t xml:space="preserve">课程报告    </w:t>
      </w:r>
      <w:r>
        <w:rPr>
          <w:rFonts w:hint="eastAsia" w:ascii="仿宋_GB2312" w:hAnsi="仿宋_GB2312" w:eastAsia="仿宋_GB2312" w:cs="仿宋_GB2312"/>
          <w:sz w:val="24"/>
          <w:szCs w:val="24"/>
          <w:lang w:val="en-US" w:eastAsia="zh-CN"/>
        </w:rPr>
        <w:sym w:font="Wingdings" w:char="F0A8"/>
      </w:r>
      <w:r>
        <w:rPr>
          <w:rFonts w:hint="eastAsia" w:ascii="仿宋_GB2312" w:hAnsi="仿宋_GB2312" w:eastAsia="仿宋_GB2312" w:cs="仿宋_GB2312"/>
          <w:sz w:val="24"/>
          <w:szCs w:val="24"/>
          <w:lang w:val="en-US" w:eastAsia="zh-CN"/>
        </w:rPr>
        <w:t>其它：</w:t>
      </w:r>
      <w:r>
        <w:rPr>
          <w:rFonts w:hint="eastAsia" w:ascii="仿宋_GB2312" w:hAnsi="仿宋_GB2312" w:eastAsia="仿宋_GB2312" w:cs="仿宋_GB2312"/>
          <w:sz w:val="24"/>
          <w:szCs w:val="24"/>
          <w:u w:val="single"/>
          <w:lang w:val="en-US" w:eastAsia="zh-CN"/>
        </w:rPr>
        <w:t xml:space="preserve">                </w:t>
      </w:r>
    </w:p>
    <w:p w14:paraId="6F1E9389">
      <w:pPr>
        <w:spacing w:line="360" w:lineRule="auto"/>
        <w:ind w:firstLine="480" w:firstLineChars="200"/>
        <w:rPr>
          <w:rFonts w:hint="default" w:ascii="宋体" w:hAnsi="宋体" w:eastAsia="宋体"/>
          <w:sz w:val="24"/>
          <w:lang w:val="en-US" w:eastAsia="zh-CN"/>
        </w:rPr>
      </w:pPr>
      <w:r>
        <w:rPr>
          <w:rFonts w:hint="eastAsia" w:ascii="仿宋_GB2312" w:hAnsi="仿宋_GB2312" w:eastAsia="仿宋_GB2312" w:cs="仿宋_GB2312"/>
          <w:sz w:val="24"/>
          <w:szCs w:val="24"/>
          <w:lang w:val="en-US" w:eastAsia="zh-CN"/>
        </w:rPr>
        <w:t>（三）成绩评定：</w:t>
      </w:r>
    </w:p>
    <w:tbl>
      <w:tblPr>
        <w:tblStyle w:val="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04"/>
        <w:gridCol w:w="411"/>
        <w:gridCol w:w="1026"/>
        <w:gridCol w:w="1256"/>
        <w:gridCol w:w="3526"/>
        <w:gridCol w:w="1582"/>
      </w:tblGrid>
      <w:tr w14:paraId="78B5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tblHeader/>
          <w:jc w:val="center"/>
        </w:trPr>
        <w:tc>
          <w:tcPr>
            <w:tcW w:w="704" w:type="dxa"/>
            <w:tcMar>
              <w:top w:w="57" w:type="dxa"/>
              <w:bottom w:w="57" w:type="dxa"/>
            </w:tcMar>
            <w:vAlign w:val="center"/>
          </w:tcPr>
          <w:p w14:paraId="5A716D70">
            <w:pPr>
              <w:snapToGrid w:val="0"/>
              <w:jc w:val="center"/>
              <w:rPr>
                <w:rFonts w:hint="eastAsia" w:ascii="黑体" w:hAnsi="黑体" w:eastAsia="黑体" w:cs="黑体"/>
                <w:b/>
                <w:sz w:val="24"/>
                <w:szCs w:val="24"/>
              </w:rPr>
            </w:pPr>
            <w:r>
              <w:rPr>
                <w:rFonts w:hint="eastAsia" w:ascii="黑体" w:hAnsi="黑体" w:eastAsia="黑体" w:cs="黑体"/>
                <w:b/>
                <w:sz w:val="24"/>
                <w:szCs w:val="24"/>
              </w:rPr>
              <w:t>考核</w:t>
            </w:r>
          </w:p>
          <w:p w14:paraId="0B7A5D8C">
            <w:pPr>
              <w:snapToGrid w:val="0"/>
              <w:jc w:val="center"/>
              <w:rPr>
                <w:rFonts w:hint="eastAsia" w:ascii="黑体" w:hAnsi="黑体" w:eastAsia="黑体" w:cs="黑体"/>
                <w:b/>
                <w:sz w:val="24"/>
                <w:szCs w:val="24"/>
              </w:rPr>
            </w:pPr>
            <w:r>
              <w:rPr>
                <w:rFonts w:hint="eastAsia" w:ascii="黑体" w:hAnsi="黑体" w:eastAsia="黑体" w:cs="黑体"/>
                <w:b/>
                <w:sz w:val="24"/>
                <w:szCs w:val="24"/>
              </w:rPr>
              <w:t>依据</w:t>
            </w:r>
          </w:p>
        </w:tc>
        <w:tc>
          <w:tcPr>
            <w:tcW w:w="2693" w:type="dxa"/>
            <w:gridSpan w:val="3"/>
            <w:tcMar>
              <w:top w:w="57" w:type="dxa"/>
              <w:bottom w:w="57" w:type="dxa"/>
            </w:tcMar>
            <w:vAlign w:val="center"/>
          </w:tcPr>
          <w:p w14:paraId="3051AC0B">
            <w:pPr>
              <w:snapToGrid w:val="0"/>
              <w:jc w:val="center"/>
              <w:rPr>
                <w:rFonts w:hint="eastAsia" w:ascii="黑体" w:hAnsi="黑体" w:eastAsia="黑体" w:cs="黑体"/>
                <w:b/>
                <w:sz w:val="24"/>
                <w:szCs w:val="24"/>
              </w:rPr>
            </w:pPr>
            <w:r>
              <w:rPr>
                <w:rFonts w:hint="eastAsia" w:ascii="黑体" w:hAnsi="黑体" w:eastAsia="黑体" w:cs="黑体"/>
                <w:b/>
                <w:sz w:val="24"/>
                <w:szCs w:val="24"/>
              </w:rPr>
              <w:t>建议分值</w:t>
            </w:r>
          </w:p>
          <w:p w14:paraId="04DCC82B">
            <w:pPr>
              <w:snapToGrid w:val="0"/>
              <w:jc w:val="center"/>
              <w:rPr>
                <w:rFonts w:hint="eastAsia" w:ascii="黑体" w:hAnsi="黑体" w:eastAsia="黑体" w:cs="黑体"/>
                <w:b/>
                <w:sz w:val="24"/>
                <w:szCs w:val="24"/>
              </w:rPr>
            </w:pPr>
            <w:r>
              <w:rPr>
                <w:rFonts w:hint="eastAsia" w:ascii="黑体" w:hAnsi="黑体" w:eastAsia="黑体" w:cs="黑体"/>
                <w:b/>
                <w:sz w:val="24"/>
                <w:szCs w:val="24"/>
              </w:rPr>
              <w:t>（百分比）</w:t>
            </w:r>
          </w:p>
        </w:tc>
        <w:tc>
          <w:tcPr>
            <w:tcW w:w="3526" w:type="dxa"/>
            <w:tcMar>
              <w:top w:w="57" w:type="dxa"/>
              <w:bottom w:w="57" w:type="dxa"/>
            </w:tcMar>
            <w:vAlign w:val="center"/>
          </w:tcPr>
          <w:p w14:paraId="29F0E837">
            <w:pPr>
              <w:snapToGrid w:val="0"/>
              <w:jc w:val="center"/>
              <w:rPr>
                <w:rFonts w:hint="eastAsia" w:ascii="黑体" w:hAnsi="黑体" w:eastAsia="黑体" w:cs="黑体"/>
                <w:b/>
                <w:sz w:val="24"/>
                <w:szCs w:val="24"/>
              </w:rPr>
            </w:pPr>
            <w:r>
              <w:rPr>
                <w:rFonts w:hint="eastAsia" w:ascii="黑体" w:hAnsi="黑体" w:eastAsia="黑体" w:cs="黑体"/>
                <w:b/>
                <w:sz w:val="24"/>
                <w:szCs w:val="24"/>
              </w:rPr>
              <w:t>考核/评价细则</w:t>
            </w:r>
          </w:p>
        </w:tc>
        <w:tc>
          <w:tcPr>
            <w:tcW w:w="1582" w:type="dxa"/>
            <w:tcMar>
              <w:top w:w="57" w:type="dxa"/>
              <w:bottom w:w="57" w:type="dxa"/>
            </w:tcMar>
            <w:vAlign w:val="center"/>
          </w:tcPr>
          <w:p w14:paraId="25FABBD2">
            <w:pPr>
              <w:snapToGrid w:val="0"/>
              <w:jc w:val="center"/>
              <w:rPr>
                <w:rFonts w:hint="eastAsia" w:ascii="黑体" w:hAnsi="黑体" w:eastAsia="黑体" w:cs="黑体"/>
                <w:b/>
                <w:sz w:val="24"/>
                <w:szCs w:val="24"/>
              </w:rPr>
            </w:pPr>
            <w:r>
              <w:rPr>
                <w:rFonts w:hint="eastAsia" w:ascii="黑体" w:hAnsi="黑体" w:eastAsia="黑体" w:cs="黑体"/>
                <w:b/>
                <w:sz w:val="24"/>
                <w:szCs w:val="24"/>
              </w:rPr>
              <w:t>对应课程目标</w:t>
            </w:r>
          </w:p>
        </w:tc>
      </w:tr>
      <w:tr w14:paraId="7542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704" w:type="dxa"/>
            <w:vMerge w:val="restart"/>
            <w:tcMar>
              <w:top w:w="57" w:type="dxa"/>
              <w:bottom w:w="57" w:type="dxa"/>
            </w:tcMar>
            <w:vAlign w:val="center"/>
          </w:tcPr>
          <w:p w14:paraId="680B624E">
            <w:pPr>
              <w:snapToGrid w:val="0"/>
              <w:jc w:val="center"/>
              <w:rPr>
                <w:rFonts w:hint="eastAsia" w:ascii="黑体" w:hAnsi="黑体" w:eastAsia="黑体" w:cs="黑体"/>
                <w:b/>
                <w:sz w:val="24"/>
                <w:szCs w:val="24"/>
              </w:rPr>
            </w:pPr>
          </w:p>
        </w:tc>
        <w:tc>
          <w:tcPr>
            <w:tcW w:w="411" w:type="dxa"/>
            <w:vMerge w:val="restart"/>
            <w:tcMar>
              <w:top w:w="57" w:type="dxa"/>
              <w:bottom w:w="57" w:type="dxa"/>
            </w:tcMar>
            <w:vAlign w:val="center"/>
          </w:tcPr>
          <w:p w14:paraId="69E5D3D6">
            <w:pPr>
              <w:snapToGrid w:val="0"/>
              <w:jc w:val="center"/>
              <w:rPr>
                <w:rFonts w:hint="eastAsia" w:ascii="黑体" w:hAnsi="黑体" w:eastAsia="黑体" w:cs="黑体"/>
                <w:snapToGrid w:val="0"/>
                <w:sz w:val="24"/>
                <w:szCs w:val="24"/>
              </w:rPr>
            </w:pPr>
          </w:p>
        </w:tc>
        <w:tc>
          <w:tcPr>
            <w:tcW w:w="1026" w:type="dxa"/>
            <w:tcMar>
              <w:top w:w="57" w:type="dxa"/>
              <w:bottom w:w="57" w:type="dxa"/>
            </w:tcMar>
            <w:vAlign w:val="center"/>
          </w:tcPr>
          <w:p w14:paraId="53A9E3BE">
            <w:pPr>
              <w:snapToGrid w:val="0"/>
              <w:jc w:val="center"/>
              <w:rPr>
                <w:rFonts w:hint="eastAsia" w:ascii="黑体" w:hAnsi="黑体" w:eastAsia="黑体" w:cs="黑体"/>
                <w:b/>
                <w:sz w:val="24"/>
                <w:szCs w:val="24"/>
              </w:rPr>
            </w:pPr>
            <w:r>
              <w:rPr>
                <w:rFonts w:hint="eastAsia" w:ascii="黑体" w:hAnsi="黑体" w:eastAsia="黑体" w:cs="黑体"/>
                <w:b/>
                <w:sz w:val="24"/>
                <w:szCs w:val="24"/>
              </w:rPr>
              <w:t>作业1</w:t>
            </w:r>
          </w:p>
        </w:tc>
        <w:tc>
          <w:tcPr>
            <w:tcW w:w="1256" w:type="dxa"/>
            <w:tcMar>
              <w:top w:w="57" w:type="dxa"/>
              <w:bottom w:w="57" w:type="dxa"/>
            </w:tcMar>
            <w:vAlign w:val="center"/>
          </w:tcPr>
          <w:p w14:paraId="0E2B461B">
            <w:pPr>
              <w:spacing w:line="360" w:lineRule="auto"/>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w:t>
            </w:r>
          </w:p>
        </w:tc>
        <w:tc>
          <w:tcPr>
            <w:tcW w:w="3526" w:type="dxa"/>
            <w:tcMar>
              <w:top w:w="57" w:type="dxa"/>
              <w:bottom w:w="57" w:type="dxa"/>
            </w:tcMar>
            <w:vAlign w:val="center"/>
          </w:tcPr>
          <w:p w14:paraId="5E4B2EC5">
            <w:pPr>
              <w:spacing w:line="360" w:lineRule="auto"/>
              <w:jc w:val="left"/>
              <w:rPr>
                <w:rFonts w:hint="eastAsia" w:ascii="仿宋_GB2312" w:hAnsi="仿宋_GB2312" w:eastAsia="仿宋" w:cs="仿宋_GB2312"/>
                <w:sz w:val="21"/>
                <w:szCs w:val="21"/>
                <w:lang w:val="en-US" w:eastAsia="zh-CN"/>
              </w:rPr>
            </w:pPr>
            <w:r>
              <w:rPr>
                <w:rFonts w:hint="eastAsia" w:ascii="仿宋" w:hAnsi="仿宋" w:eastAsia="仿宋" w:cs="仿宋_GB2312"/>
                <w:szCs w:val="21"/>
              </w:rPr>
              <w:t>本部分</w:t>
            </w:r>
            <w:r>
              <w:rPr>
                <w:rFonts w:hint="eastAsia" w:ascii="仿宋" w:hAnsi="仿宋" w:eastAsia="仿宋" w:cs="微软雅黑"/>
                <w:szCs w:val="21"/>
              </w:rPr>
              <w:t>由</w:t>
            </w:r>
            <w:r>
              <w:rPr>
                <w:rFonts w:hint="eastAsia" w:ascii="仿宋" w:hAnsi="仿宋" w:eastAsia="仿宋" w:cs="___WRD_EMBED_SUB_47"/>
                <w:szCs w:val="21"/>
              </w:rPr>
              <w:t>授课教师</w:t>
            </w:r>
            <w:r>
              <w:rPr>
                <w:rFonts w:hint="eastAsia" w:ascii="仿宋" w:hAnsi="仿宋" w:eastAsia="仿宋" w:cs="___WRD_EMBED_SUB_47"/>
                <w:szCs w:val="21"/>
                <w:lang w:val="en-US" w:eastAsia="zh-CN"/>
              </w:rPr>
              <w:t>参考授课内容</w:t>
            </w:r>
            <w:r>
              <w:rPr>
                <w:rFonts w:hint="eastAsia" w:ascii="仿宋" w:hAnsi="仿宋" w:eastAsia="仿宋" w:cs="___WRD_EMBED_SUB_47"/>
                <w:szCs w:val="21"/>
              </w:rPr>
              <w:t>评定</w:t>
            </w:r>
          </w:p>
        </w:tc>
        <w:tc>
          <w:tcPr>
            <w:tcW w:w="1582" w:type="dxa"/>
            <w:tcMar>
              <w:top w:w="57" w:type="dxa"/>
              <w:bottom w:w="57" w:type="dxa"/>
            </w:tcMar>
            <w:vAlign w:val="center"/>
          </w:tcPr>
          <w:p w14:paraId="70A43CFB">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课程目标1</w:t>
            </w:r>
          </w:p>
        </w:tc>
      </w:tr>
      <w:tr w14:paraId="72936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6" w:hRule="atLeast"/>
          <w:jc w:val="center"/>
        </w:trPr>
        <w:tc>
          <w:tcPr>
            <w:tcW w:w="704" w:type="dxa"/>
            <w:vMerge w:val="continue"/>
            <w:tcMar>
              <w:top w:w="57" w:type="dxa"/>
              <w:bottom w:w="57" w:type="dxa"/>
            </w:tcMar>
            <w:vAlign w:val="center"/>
          </w:tcPr>
          <w:p w14:paraId="310553D1">
            <w:pPr>
              <w:snapToGrid w:val="0"/>
              <w:jc w:val="center"/>
              <w:rPr>
                <w:rFonts w:hint="eastAsia" w:ascii="黑体" w:hAnsi="黑体" w:eastAsia="黑体" w:cs="黑体"/>
                <w:b/>
                <w:snapToGrid w:val="0"/>
                <w:sz w:val="24"/>
                <w:szCs w:val="24"/>
              </w:rPr>
            </w:pPr>
          </w:p>
        </w:tc>
        <w:tc>
          <w:tcPr>
            <w:tcW w:w="411" w:type="dxa"/>
            <w:vMerge w:val="continue"/>
            <w:tcMar>
              <w:top w:w="57" w:type="dxa"/>
              <w:bottom w:w="57" w:type="dxa"/>
            </w:tcMar>
            <w:vAlign w:val="center"/>
          </w:tcPr>
          <w:p w14:paraId="03E1933F">
            <w:pPr>
              <w:snapToGrid w:val="0"/>
              <w:jc w:val="center"/>
              <w:rPr>
                <w:rFonts w:hint="eastAsia" w:ascii="黑体" w:hAnsi="黑体" w:eastAsia="黑体" w:cs="黑体"/>
                <w:snapToGrid w:val="0"/>
                <w:sz w:val="24"/>
                <w:szCs w:val="24"/>
              </w:rPr>
            </w:pPr>
          </w:p>
        </w:tc>
        <w:tc>
          <w:tcPr>
            <w:tcW w:w="1026" w:type="dxa"/>
            <w:tcMar>
              <w:top w:w="57" w:type="dxa"/>
              <w:bottom w:w="57" w:type="dxa"/>
            </w:tcMar>
            <w:vAlign w:val="center"/>
          </w:tcPr>
          <w:p w14:paraId="37F107BD">
            <w:pPr>
              <w:snapToGrid w:val="0"/>
              <w:jc w:val="center"/>
              <w:rPr>
                <w:rFonts w:hint="eastAsia" w:ascii="黑体" w:hAnsi="黑体" w:eastAsia="黑体" w:cs="黑体"/>
                <w:b/>
                <w:sz w:val="24"/>
                <w:szCs w:val="24"/>
              </w:rPr>
            </w:pPr>
            <w:r>
              <w:rPr>
                <w:rFonts w:hint="eastAsia" w:ascii="黑体" w:hAnsi="黑体" w:eastAsia="黑体" w:cs="黑体"/>
                <w:b/>
                <w:sz w:val="24"/>
                <w:szCs w:val="24"/>
              </w:rPr>
              <w:t>作业2</w:t>
            </w:r>
          </w:p>
        </w:tc>
        <w:tc>
          <w:tcPr>
            <w:tcW w:w="1256" w:type="dxa"/>
            <w:tcMar>
              <w:top w:w="57" w:type="dxa"/>
              <w:bottom w:w="57" w:type="dxa"/>
            </w:tcMar>
            <w:vAlign w:val="center"/>
          </w:tcPr>
          <w:p w14:paraId="004BD43D">
            <w:pPr>
              <w:spacing w:line="360" w:lineRule="auto"/>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w:t>
            </w:r>
          </w:p>
        </w:tc>
        <w:tc>
          <w:tcPr>
            <w:tcW w:w="3526" w:type="dxa"/>
            <w:tcMar>
              <w:top w:w="57" w:type="dxa"/>
              <w:bottom w:w="57" w:type="dxa"/>
            </w:tcMar>
            <w:vAlign w:val="center"/>
          </w:tcPr>
          <w:p w14:paraId="356DE633">
            <w:pPr>
              <w:spacing w:line="360" w:lineRule="auto"/>
              <w:jc w:val="left"/>
              <w:rPr>
                <w:rFonts w:hint="eastAsia" w:ascii="仿宋_GB2312" w:hAnsi="仿宋_GB2312" w:eastAsia="仿宋_GB2312" w:cs="仿宋_GB2312"/>
                <w:sz w:val="21"/>
                <w:szCs w:val="21"/>
                <w:lang w:val="en-US" w:eastAsia="zh-CN"/>
              </w:rPr>
            </w:pPr>
            <w:r>
              <w:rPr>
                <w:rFonts w:hint="eastAsia" w:ascii="仿宋" w:hAnsi="仿宋" w:eastAsia="仿宋" w:cs="仿宋_GB2312"/>
                <w:szCs w:val="21"/>
              </w:rPr>
              <w:t>本部分</w:t>
            </w:r>
            <w:r>
              <w:rPr>
                <w:rFonts w:hint="eastAsia" w:ascii="仿宋" w:hAnsi="仿宋" w:eastAsia="仿宋" w:cs="微软雅黑"/>
                <w:szCs w:val="21"/>
              </w:rPr>
              <w:t>由</w:t>
            </w:r>
            <w:r>
              <w:rPr>
                <w:rFonts w:hint="eastAsia" w:ascii="仿宋" w:hAnsi="仿宋" w:eastAsia="仿宋" w:cs="___WRD_EMBED_SUB_47"/>
                <w:szCs w:val="21"/>
              </w:rPr>
              <w:t>授课教师</w:t>
            </w:r>
            <w:r>
              <w:rPr>
                <w:rFonts w:hint="eastAsia" w:ascii="仿宋" w:hAnsi="仿宋" w:eastAsia="仿宋" w:cs="___WRD_EMBED_SUB_47"/>
                <w:szCs w:val="21"/>
                <w:lang w:val="en-US" w:eastAsia="zh-CN"/>
              </w:rPr>
              <w:t>参考授课内容</w:t>
            </w:r>
            <w:r>
              <w:rPr>
                <w:rFonts w:hint="eastAsia" w:ascii="仿宋" w:hAnsi="仿宋" w:eastAsia="仿宋" w:cs="___WRD_EMBED_SUB_47"/>
                <w:szCs w:val="21"/>
              </w:rPr>
              <w:t>评定</w:t>
            </w:r>
          </w:p>
        </w:tc>
        <w:tc>
          <w:tcPr>
            <w:tcW w:w="1582" w:type="dxa"/>
            <w:tcMar>
              <w:top w:w="57" w:type="dxa"/>
              <w:bottom w:w="57" w:type="dxa"/>
            </w:tcMar>
            <w:vAlign w:val="center"/>
          </w:tcPr>
          <w:p w14:paraId="4882E86B">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课程目标2</w:t>
            </w:r>
          </w:p>
        </w:tc>
      </w:tr>
      <w:tr w14:paraId="7239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704" w:type="dxa"/>
            <w:vMerge w:val="continue"/>
            <w:tcMar>
              <w:top w:w="57" w:type="dxa"/>
              <w:bottom w:w="57" w:type="dxa"/>
            </w:tcMar>
            <w:vAlign w:val="center"/>
          </w:tcPr>
          <w:p w14:paraId="25AE2AB7">
            <w:pPr>
              <w:snapToGrid w:val="0"/>
              <w:jc w:val="center"/>
              <w:rPr>
                <w:rFonts w:hint="eastAsia" w:ascii="黑体" w:hAnsi="黑体" w:eastAsia="黑体" w:cs="黑体"/>
                <w:b/>
                <w:snapToGrid w:val="0"/>
                <w:sz w:val="24"/>
                <w:szCs w:val="24"/>
              </w:rPr>
            </w:pPr>
          </w:p>
        </w:tc>
        <w:tc>
          <w:tcPr>
            <w:tcW w:w="411" w:type="dxa"/>
            <w:vMerge w:val="continue"/>
            <w:tcMar>
              <w:top w:w="57" w:type="dxa"/>
              <w:bottom w:w="57" w:type="dxa"/>
            </w:tcMar>
            <w:vAlign w:val="center"/>
          </w:tcPr>
          <w:p w14:paraId="3422AFB9">
            <w:pPr>
              <w:snapToGrid w:val="0"/>
              <w:jc w:val="center"/>
              <w:rPr>
                <w:rFonts w:hint="eastAsia" w:ascii="黑体" w:hAnsi="黑体" w:eastAsia="黑体" w:cs="黑体"/>
                <w:snapToGrid w:val="0"/>
                <w:sz w:val="24"/>
                <w:szCs w:val="24"/>
              </w:rPr>
            </w:pPr>
          </w:p>
        </w:tc>
        <w:tc>
          <w:tcPr>
            <w:tcW w:w="1026" w:type="dxa"/>
            <w:tcMar>
              <w:top w:w="57" w:type="dxa"/>
              <w:bottom w:w="57" w:type="dxa"/>
            </w:tcMar>
            <w:vAlign w:val="center"/>
          </w:tcPr>
          <w:p w14:paraId="4689D5CA">
            <w:pPr>
              <w:snapToGrid w:val="0"/>
              <w:jc w:val="center"/>
              <w:rPr>
                <w:rFonts w:hint="eastAsia" w:ascii="黑体" w:hAnsi="黑体" w:eastAsia="黑体" w:cs="黑体"/>
                <w:b/>
                <w:sz w:val="24"/>
                <w:szCs w:val="24"/>
              </w:rPr>
            </w:pPr>
            <w:r>
              <w:rPr>
                <w:rFonts w:hint="eastAsia" w:ascii="黑体" w:hAnsi="黑体" w:eastAsia="黑体" w:cs="黑体"/>
                <w:b/>
                <w:sz w:val="24"/>
                <w:szCs w:val="24"/>
              </w:rPr>
              <w:t>作业3</w:t>
            </w:r>
          </w:p>
        </w:tc>
        <w:tc>
          <w:tcPr>
            <w:tcW w:w="1256" w:type="dxa"/>
            <w:tcMar>
              <w:top w:w="57" w:type="dxa"/>
              <w:bottom w:w="57" w:type="dxa"/>
            </w:tcMar>
            <w:vAlign w:val="center"/>
          </w:tcPr>
          <w:p w14:paraId="4B490706">
            <w:pPr>
              <w:spacing w:line="360" w:lineRule="auto"/>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w:t>
            </w:r>
          </w:p>
        </w:tc>
        <w:tc>
          <w:tcPr>
            <w:tcW w:w="3526" w:type="dxa"/>
            <w:tcMar>
              <w:top w:w="57" w:type="dxa"/>
              <w:bottom w:w="57" w:type="dxa"/>
            </w:tcMar>
            <w:vAlign w:val="center"/>
          </w:tcPr>
          <w:p w14:paraId="53D7E000">
            <w:pPr>
              <w:spacing w:line="360" w:lineRule="auto"/>
              <w:jc w:val="left"/>
              <w:rPr>
                <w:rFonts w:hint="eastAsia" w:ascii="仿宋_GB2312" w:hAnsi="仿宋_GB2312" w:eastAsia="仿宋_GB2312" w:cs="仿宋_GB2312"/>
                <w:sz w:val="21"/>
                <w:szCs w:val="21"/>
                <w:lang w:val="en-US" w:eastAsia="zh-CN"/>
              </w:rPr>
            </w:pPr>
            <w:r>
              <w:rPr>
                <w:rFonts w:hint="eastAsia" w:ascii="仿宋" w:hAnsi="仿宋" w:eastAsia="仿宋" w:cs="仿宋_GB2312"/>
                <w:szCs w:val="21"/>
              </w:rPr>
              <w:t>本部分</w:t>
            </w:r>
            <w:r>
              <w:rPr>
                <w:rFonts w:hint="eastAsia" w:ascii="仿宋" w:hAnsi="仿宋" w:eastAsia="仿宋" w:cs="微软雅黑"/>
                <w:szCs w:val="21"/>
              </w:rPr>
              <w:t>由</w:t>
            </w:r>
            <w:r>
              <w:rPr>
                <w:rFonts w:hint="eastAsia" w:ascii="仿宋" w:hAnsi="仿宋" w:eastAsia="仿宋" w:cs="___WRD_EMBED_SUB_47"/>
                <w:szCs w:val="21"/>
              </w:rPr>
              <w:t>授课教师</w:t>
            </w:r>
            <w:r>
              <w:rPr>
                <w:rFonts w:hint="eastAsia" w:ascii="仿宋" w:hAnsi="仿宋" w:eastAsia="仿宋" w:cs="___WRD_EMBED_SUB_47"/>
                <w:szCs w:val="21"/>
                <w:lang w:val="en-US" w:eastAsia="zh-CN"/>
              </w:rPr>
              <w:t>参考授课内容</w:t>
            </w:r>
            <w:r>
              <w:rPr>
                <w:rFonts w:hint="eastAsia" w:ascii="仿宋" w:hAnsi="仿宋" w:eastAsia="仿宋" w:cs="___WRD_EMBED_SUB_47"/>
                <w:szCs w:val="21"/>
              </w:rPr>
              <w:t>评定</w:t>
            </w:r>
          </w:p>
        </w:tc>
        <w:tc>
          <w:tcPr>
            <w:tcW w:w="1582" w:type="dxa"/>
            <w:tcMar>
              <w:top w:w="57" w:type="dxa"/>
              <w:bottom w:w="57" w:type="dxa"/>
            </w:tcMar>
            <w:vAlign w:val="center"/>
          </w:tcPr>
          <w:p w14:paraId="5DD9549D">
            <w:pPr>
              <w:spacing w:line="360" w:lineRule="auto"/>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课程目标2</w:t>
            </w:r>
          </w:p>
        </w:tc>
      </w:tr>
      <w:tr w14:paraId="5C73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704" w:type="dxa"/>
            <w:vMerge w:val="continue"/>
            <w:tcMar>
              <w:top w:w="57" w:type="dxa"/>
              <w:bottom w:w="57" w:type="dxa"/>
            </w:tcMar>
            <w:vAlign w:val="center"/>
          </w:tcPr>
          <w:p w14:paraId="4EEAAF0A">
            <w:pPr>
              <w:snapToGrid w:val="0"/>
              <w:jc w:val="center"/>
              <w:rPr>
                <w:rFonts w:hint="eastAsia" w:ascii="黑体" w:hAnsi="黑体" w:eastAsia="黑体" w:cs="黑体"/>
                <w:b/>
                <w:snapToGrid w:val="0"/>
                <w:sz w:val="24"/>
                <w:szCs w:val="24"/>
              </w:rPr>
            </w:pPr>
          </w:p>
        </w:tc>
        <w:tc>
          <w:tcPr>
            <w:tcW w:w="411" w:type="dxa"/>
            <w:vMerge w:val="continue"/>
            <w:tcMar>
              <w:top w:w="57" w:type="dxa"/>
              <w:bottom w:w="57" w:type="dxa"/>
            </w:tcMar>
            <w:vAlign w:val="center"/>
          </w:tcPr>
          <w:p w14:paraId="7337979C">
            <w:pPr>
              <w:snapToGrid w:val="0"/>
              <w:jc w:val="center"/>
              <w:rPr>
                <w:rFonts w:hint="eastAsia" w:ascii="黑体" w:hAnsi="黑体" w:eastAsia="黑体" w:cs="黑体"/>
                <w:snapToGrid w:val="0"/>
                <w:sz w:val="24"/>
                <w:szCs w:val="24"/>
              </w:rPr>
            </w:pPr>
          </w:p>
        </w:tc>
        <w:tc>
          <w:tcPr>
            <w:tcW w:w="1026" w:type="dxa"/>
            <w:tcMar>
              <w:top w:w="57" w:type="dxa"/>
              <w:bottom w:w="57" w:type="dxa"/>
            </w:tcMar>
            <w:vAlign w:val="center"/>
          </w:tcPr>
          <w:p w14:paraId="5FE178E0">
            <w:pPr>
              <w:snapToGrid w:val="0"/>
              <w:jc w:val="center"/>
              <w:rPr>
                <w:rFonts w:hint="eastAsia" w:ascii="黑体" w:hAnsi="黑体" w:eastAsia="黑体" w:cs="黑体"/>
                <w:b/>
                <w:sz w:val="24"/>
                <w:szCs w:val="24"/>
                <w:lang w:val="en-US" w:eastAsia="zh-CN"/>
              </w:rPr>
            </w:pPr>
            <w:r>
              <w:rPr>
                <w:rFonts w:hint="eastAsia" w:ascii="黑体" w:hAnsi="黑体" w:eastAsia="黑体" w:cs="黑体"/>
                <w:b/>
                <w:sz w:val="24"/>
                <w:szCs w:val="24"/>
              </w:rPr>
              <w:t>作业</w:t>
            </w:r>
            <w:r>
              <w:rPr>
                <w:rFonts w:hint="eastAsia" w:ascii="黑体" w:hAnsi="黑体" w:eastAsia="黑体" w:cs="黑体"/>
                <w:b/>
                <w:sz w:val="24"/>
                <w:szCs w:val="24"/>
                <w:lang w:val="en-US" w:eastAsia="zh-CN"/>
              </w:rPr>
              <w:t>4</w:t>
            </w:r>
          </w:p>
        </w:tc>
        <w:tc>
          <w:tcPr>
            <w:tcW w:w="1256" w:type="dxa"/>
            <w:tcMar>
              <w:top w:w="57" w:type="dxa"/>
              <w:bottom w:w="57" w:type="dxa"/>
            </w:tcMar>
            <w:vAlign w:val="center"/>
          </w:tcPr>
          <w:p w14:paraId="7B81FAF6">
            <w:pPr>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w:t>
            </w:r>
          </w:p>
        </w:tc>
        <w:tc>
          <w:tcPr>
            <w:tcW w:w="3526" w:type="dxa"/>
            <w:tcMar>
              <w:top w:w="57" w:type="dxa"/>
              <w:bottom w:w="57" w:type="dxa"/>
            </w:tcMar>
            <w:vAlign w:val="center"/>
          </w:tcPr>
          <w:p w14:paraId="55CA98FB">
            <w:pPr>
              <w:spacing w:line="360" w:lineRule="auto"/>
              <w:jc w:val="left"/>
              <w:rPr>
                <w:rFonts w:hint="eastAsia" w:ascii="仿宋_GB2312" w:hAnsi="仿宋_GB2312" w:eastAsia="仿宋_GB2312" w:cs="仿宋_GB2312"/>
                <w:sz w:val="21"/>
                <w:szCs w:val="21"/>
                <w:lang w:val="en-US" w:eastAsia="zh-CN"/>
              </w:rPr>
            </w:pPr>
            <w:r>
              <w:rPr>
                <w:rFonts w:hint="eastAsia" w:ascii="仿宋" w:hAnsi="仿宋" w:eastAsia="仿宋" w:cs="仿宋_GB2312"/>
                <w:szCs w:val="21"/>
              </w:rPr>
              <w:t>本部分</w:t>
            </w:r>
            <w:r>
              <w:rPr>
                <w:rFonts w:hint="eastAsia" w:ascii="仿宋" w:hAnsi="仿宋" w:eastAsia="仿宋" w:cs="微软雅黑"/>
                <w:szCs w:val="21"/>
              </w:rPr>
              <w:t>由</w:t>
            </w:r>
            <w:r>
              <w:rPr>
                <w:rFonts w:hint="eastAsia" w:ascii="仿宋" w:hAnsi="仿宋" w:eastAsia="仿宋" w:cs="___WRD_EMBED_SUB_47"/>
                <w:szCs w:val="21"/>
              </w:rPr>
              <w:t>授课教师</w:t>
            </w:r>
            <w:r>
              <w:rPr>
                <w:rFonts w:hint="eastAsia" w:ascii="仿宋" w:hAnsi="仿宋" w:eastAsia="仿宋" w:cs="___WRD_EMBED_SUB_47"/>
                <w:szCs w:val="21"/>
                <w:lang w:val="en-US" w:eastAsia="zh-CN"/>
              </w:rPr>
              <w:t>参考授课内容</w:t>
            </w:r>
            <w:r>
              <w:rPr>
                <w:rFonts w:hint="eastAsia" w:ascii="仿宋" w:hAnsi="仿宋" w:eastAsia="仿宋" w:cs="___WRD_EMBED_SUB_47"/>
                <w:szCs w:val="21"/>
              </w:rPr>
              <w:t>评定</w:t>
            </w:r>
          </w:p>
        </w:tc>
        <w:tc>
          <w:tcPr>
            <w:tcW w:w="1582" w:type="dxa"/>
            <w:tcMar>
              <w:top w:w="57" w:type="dxa"/>
              <w:bottom w:w="57" w:type="dxa"/>
            </w:tcMar>
            <w:vAlign w:val="center"/>
          </w:tcPr>
          <w:p w14:paraId="3B0B29C0">
            <w:pPr>
              <w:spacing w:line="360" w:lineRule="auto"/>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课程目标2</w:t>
            </w:r>
          </w:p>
        </w:tc>
      </w:tr>
      <w:tr w14:paraId="02CD5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704" w:type="dxa"/>
            <w:tcMar>
              <w:top w:w="57" w:type="dxa"/>
              <w:bottom w:w="57" w:type="dxa"/>
            </w:tcMar>
            <w:vAlign w:val="center"/>
          </w:tcPr>
          <w:p w14:paraId="783F84FF">
            <w:pPr>
              <w:snapToGrid w:val="0"/>
              <w:jc w:val="center"/>
              <w:rPr>
                <w:rFonts w:hint="eastAsia" w:ascii="黑体" w:hAnsi="黑体" w:eastAsia="黑体" w:cs="黑体"/>
                <w:b/>
                <w:sz w:val="24"/>
                <w:szCs w:val="24"/>
              </w:rPr>
            </w:pPr>
            <w:r>
              <w:rPr>
                <w:rFonts w:hint="eastAsia" w:ascii="黑体" w:hAnsi="黑体" w:eastAsia="黑体" w:cs="黑体"/>
                <w:b/>
                <w:sz w:val="24"/>
                <w:szCs w:val="24"/>
              </w:rPr>
              <w:t>期末</w:t>
            </w:r>
          </w:p>
          <w:p w14:paraId="33366DD1">
            <w:pPr>
              <w:snapToGrid w:val="0"/>
              <w:jc w:val="center"/>
              <w:rPr>
                <w:rFonts w:hint="eastAsia" w:ascii="黑体" w:hAnsi="黑体" w:eastAsia="黑体" w:cs="黑体"/>
                <w:b/>
                <w:sz w:val="24"/>
                <w:szCs w:val="24"/>
              </w:rPr>
            </w:pPr>
            <w:r>
              <w:rPr>
                <w:rFonts w:hint="eastAsia" w:ascii="黑体" w:hAnsi="黑体" w:eastAsia="黑体" w:cs="黑体"/>
                <w:b/>
                <w:sz w:val="24"/>
                <w:szCs w:val="24"/>
              </w:rPr>
              <w:t>考核</w:t>
            </w:r>
          </w:p>
        </w:tc>
        <w:tc>
          <w:tcPr>
            <w:tcW w:w="2693" w:type="dxa"/>
            <w:gridSpan w:val="3"/>
            <w:tcMar>
              <w:top w:w="57" w:type="dxa"/>
              <w:bottom w:w="57" w:type="dxa"/>
            </w:tcMar>
            <w:vAlign w:val="center"/>
          </w:tcPr>
          <w:p w14:paraId="1FE97EA1">
            <w:pPr>
              <w:spacing w:line="360" w:lineRule="auto"/>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60%</w:t>
            </w:r>
          </w:p>
        </w:tc>
        <w:tc>
          <w:tcPr>
            <w:tcW w:w="3526" w:type="dxa"/>
            <w:tcMar>
              <w:top w:w="57" w:type="dxa"/>
              <w:bottom w:w="57" w:type="dxa"/>
            </w:tcMar>
            <w:vAlign w:val="center"/>
          </w:tcPr>
          <w:p w14:paraId="7DFFAC4B">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按照期末考试的参考答案、评分标准进行评分。卷面分采用百分制评分，总评后按照60%进行折算。</w:t>
            </w:r>
          </w:p>
        </w:tc>
        <w:tc>
          <w:tcPr>
            <w:tcW w:w="1582" w:type="dxa"/>
            <w:tcMar>
              <w:top w:w="57" w:type="dxa"/>
              <w:bottom w:w="57" w:type="dxa"/>
            </w:tcMar>
            <w:vAlign w:val="center"/>
          </w:tcPr>
          <w:p w14:paraId="3DF6B9B6">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课程目标1</w:t>
            </w:r>
          </w:p>
          <w:p w14:paraId="38D34C57">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课程目标2</w:t>
            </w:r>
          </w:p>
        </w:tc>
      </w:tr>
    </w:tbl>
    <w:p w14:paraId="3993FB5A">
      <w:pPr>
        <w:spacing w:line="360" w:lineRule="auto"/>
        <w:ind w:firstLine="482" w:firstLineChars="200"/>
        <w:rPr>
          <w:rFonts w:hint="eastAsia" w:ascii="黑体" w:hAnsi="黑体" w:eastAsia="黑体" w:cs="黑体"/>
          <w:b w:val="0"/>
          <w:bCs/>
          <w:color w:val="FF0000"/>
          <w:sz w:val="24"/>
        </w:rPr>
      </w:pPr>
      <w:r>
        <w:rPr>
          <w:rFonts w:hint="eastAsia" w:ascii="黑体" w:hAnsi="黑体" w:eastAsia="黑体" w:cs="黑体"/>
          <w:b/>
          <w:sz w:val="24"/>
          <w:lang w:val="en-US" w:eastAsia="zh-CN"/>
        </w:rPr>
        <w:t>八</w:t>
      </w:r>
      <w:r>
        <w:rPr>
          <w:rFonts w:hint="eastAsia" w:ascii="黑体" w:hAnsi="黑体" w:eastAsia="黑体" w:cs="黑体"/>
          <w:b/>
          <w:sz w:val="24"/>
        </w:rPr>
        <w:t>、课程目标达成评价</w:t>
      </w:r>
    </w:p>
    <w:p w14:paraId="6A27F33A">
      <w:pPr>
        <w:tabs>
          <w:tab w:val="left" w:pos="672"/>
        </w:tabs>
        <w:spacing w:line="400" w:lineRule="exact"/>
        <w:ind w:firstLine="480" w:firstLineChars="200"/>
        <w:jc w:val="both"/>
        <w:rPr>
          <w:rFonts w:hint="default" w:hAnsi="Cambria Math" w:eastAsia="宋体"/>
          <w:b w:val="0"/>
          <w:i w:val="0"/>
          <w:lang w:val="en-US" w:eastAsia="zh-CN"/>
        </w:rPr>
      </w:pPr>
      <w:r>
        <w:rPr>
          <w:rFonts w:hint="eastAsia" w:ascii="仿宋_GB2312" w:hAnsi="仿宋_GB2312" w:eastAsia="仿宋_GB2312" w:cs="仿宋_GB2312"/>
          <w:sz w:val="24"/>
          <w:szCs w:val="24"/>
          <w:lang w:val="en-US" w:eastAsia="zh-CN"/>
        </w:rPr>
        <w:t>依据学部制定的课程目标达成度评价方法进行。</w:t>
      </w:r>
    </w:p>
    <w:p w14:paraId="2979CF29">
      <w:pPr>
        <w:spacing w:line="360" w:lineRule="auto"/>
        <w:ind w:firstLine="482" w:firstLineChars="200"/>
        <w:rPr>
          <w:rFonts w:hint="eastAsia" w:ascii="黑体" w:hAnsi="黑体" w:eastAsia="黑体" w:cs="黑体"/>
          <w:b w:val="0"/>
          <w:bCs/>
          <w:color w:val="FF0000"/>
          <w:lang w:val="en-US" w:eastAsia="zh-CN"/>
        </w:rPr>
      </w:pPr>
      <w:r>
        <w:rPr>
          <w:rFonts w:hint="eastAsia" w:ascii="黑体" w:hAnsi="黑体" w:eastAsia="黑体" w:cs="黑体"/>
          <w:b/>
          <w:sz w:val="24"/>
          <w:lang w:val="en-US" w:eastAsia="zh-CN"/>
        </w:rPr>
        <w:t>九</w:t>
      </w:r>
      <w:r>
        <w:rPr>
          <w:rFonts w:hint="eastAsia" w:ascii="黑体" w:hAnsi="黑体" w:eastAsia="黑体" w:cs="黑体"/>
          <w:b/>
          <w:sz w:val="24"/>
        </w:rPr>
        <w:t>、推荐教材和</w:t>
      </w:r>
      <w:r>
        <w:rPr>
          <w:rFonts w:hint="eastAsia" w:ascii="黑体" w:hAnsi="黑体" w:eastAsia="黑体" w:cs="黑体"/>
          <w:b/>
          <w:sz w:val="24"/>
          <w:lang w:val="en-US" w:eastAsia="zh-CN"/>
        </w:rPr>
        <w:t>主要</w:t>
      </w:r>
      <w:r>
        <w:rPr>
          <w:rFonts w:hint="eastAsia" w:ascii="黑体" w:hAnsi="黑体" w:eastAsia="黑体" w:cs="黑体"/>
          <w:b/>
          <w:sz w:val="24"/>
        </w:rPr>
        <w:t>参考</w:t>
      </w:r>
      <w:r>
        <w:rPr>
          <w:rFonts w:hint="eastAsia" w:ascii="黑体" w:hAnsi="黑体" w:eastAsia="黑体" w:cs="黑体"/>
          <w:b/>
          <w:sz w:val="24"/>
          <w:lang w:val="en-US" w:eastAsia="zh-CN"/>
        </w:rPr>
        <w:t>资料</w:t>
      </w:r>
    </w:p>
    <w:p w14:paraId="3B485650">
      <w:pPr>
        <w:spacing w:line="360" w:lineRule="auto"/>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（一）推荐教材</w:t>
      </w:r>
    </w:p>
    <w:p w14:paraId="1F6F801D">
      <w:pPr>
        <w:spacing w:line="360" w:lineRule="auto"/>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1.《林木生物质资源与能源化利用技术》，常建民 等编著，科学出版社，2010年2月，第1版。</w:t>
      </w:r>
    </w:p>
    <w:p w14:paraId="24F5DFB5">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（二）参考教材</w:t>
      </w:r>
    </w:p>
    <w:p w14:paraId="1645E895">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1.《生物质加工和转化中的绿色化学》，谢海波 等，机械工业出版社，2015年2月。</w:t>
      </w:r>
    </w:p>
    <w:p w14:paraId="2DEF665E">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2.《生物质能高效利用技术》，袁振宏 等，化学工业出版社，2015年1月。</w:t>
      </w:r>
    </w:p>
    <w:p w14:paraId="52170280">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3.《现代生物质能利用技术》，李海滨 等，化学工业出版社，2012年4月，第1版。</w:t>
      </w:r>
    </w:p>
    <w:p w14:paraId="3030353A">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4.《生物质生化转化技术》，陈洪章 等，冶金工业出版社，2012年10月。</w:t>
      </w:r>
    </w:p>
    <w:p w14:paraId="2AF20E5D">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5.《生物质能源利用技术》，张建安 等，化学工业出版社，2009年3月。</w:t>
      </w:r>
    </w:p>
    <w:p w14:paraId="3E0B0CC5">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6.《中国生物质能技术路线图研究》，胡润青 著，中国环境科学出版，2011年9月。</w:t>
      </w:r>
    </w:p>
    <w:p w14:paraId="21A666FD">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7.《生物质能技术与应用》，钱伯章 编，科学出版社，2010年9月。</w:t>
      </w:r>
    </w:p>
    <w:p w14:paraId="71518AA5">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8.《基于生物质的环境友好材料》，张俐娜等编，化学工业出版社，2011年6月。</w:t>
      </w:r>
    </w:p>
    <w:p w14:paraId="1B91FC04">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（三）网络资源</w:t>
      </w:r>
    </w:p>
    <w:p w14:paraId="287367CF">
      <w:pPr>
        <w:tabs>
          <w:tab w:val="right" w:pos="8024"/>
        </w:tabs>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1.线上资源，全球生物资能源网 http://bio.china-nengyuan.com/</w:t>
      </w:r>
    </w:p>
    <w:sectPr>
      <w:footerReference r:id="rId3" w:type="default"/>
      <w:pgSz w:w="11906" w:h="16838"/>
      <w:pgMar w:top="1701" w:right="1701" w:bottom="1701" w:left="1701"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8A211BE-F26A-4AC8-BABF-66172CD8853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EAB4945-FD10-4887-8539-69892BF832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3" w:fontKey="{B541B021-B8E0-4F34-85EF-9393AB54CA73}"/>
  </w:font>
  <w:font w:name="仿宋">
    <w:panose1 w:val="02010609060101010101"/>
    <w:charset w:val="86"/>
    <w:family w:val="auto"/>
    <w:pitch w:val="default"/>
    <w:sig w:usb0="800002BF" w:usb1="38CF7CFA" w:usb2="00000016" w:usb3="00000000" w:csb0="00040001" w:csb1="00000000"/>
    <w:embedRegular r:id="rId4" w:fontKey="{35467842-65F0-4EAB-962D-370B64D047D8}"/>
  </w:font>
  <w:font w:name="仿宋_GB2312">
    <w:panose1 w:val="02010609030101010101"/>
    <w:charset w:val="86"/>
    <w:family w:val="modern"/>
    <w:pitch w:val="default"/>
    <w:sig w:usb0="00000001" w:usb1="080E0000" w:usb2="00000000" w:usb3="00000000" w:csb0="00040000" w:csb1="00000000"/>
    <w:embedRegular r:id="rId5" w:fontKey="{B6FEA3DE-B9AD-4FAF-9038-24D6D7AB6BDC}"/>
  </w:font>
  <w:font w:name="方正仿宋_GB2312">
    <w:panose1 w:val="02000000000000000000"/>
    <w:charset w:val="86"/>
    <w:family w:val="auto"/>
    <w:pitch w:val="default"/>
    <w:sig w:usb0="A00002BF" w:usb1="184F6CFA" w:usb2="00000012" w:usb3="00000000" w:csb0="00040001" w:csb1="00000000"/>
  </w:font>
  <w:font w:name="Cambria Math">
    <w:panose1 w:val="02040503050406030204"/>
    <w:charset w:val="00"/>
    <w:family w:val="roman"/>
    <w:pitch w:val="default"/>
    <w:sig w:usb0="E00006FF" w:usb1="420024FF" w:usb2="02000000" w:usb3="00000000" w:csb0="2000019F" w:csb1="00000000"/>
    <w:embedRegular r:id="rId6" w:fontKey="{928B241F-AD60-4397-B9CB-B2764935F5F5}"/>
  </w:font>
  <w:font w:name="微软雅黑">
    <w:panose1 w:val="020B0503020204020204"/>
    <w:charset w:val="86"/>
    <w:family w:val="auto"/>
    <w:pitch w:val="default"/>
    <w:sig w:usb0="80000287" w:usb1="2ACF3C50" w:usb2="00000016" w:usb3="00000000" w:csb0="0004001F" w:csb1="00000000"/>
    <w:embedRegular r:id="rId7" w:fontKey="{092BEB2C-9736-4942-B2A8-E2B6E350F6CE}"/>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embedRegular r:id="rId8" w:fontKey="{BB67F044-7B23-4E53-9B8F-C01FD6635F10}"/>
  </w:font>
  <w:font w:name="___WRD_EMBED_SUB_47">
    <w:panose1 w:val="02010609030101010101"/>
    <w:charset w:val="86"/>
    <w:family w:val="modern"/>
    <w:pitch w:val="default"/>
    <w:sig w:usb0="00000001" w:usb1="080E0000" w:usb2="00000000" w:usb3="00000000" w:csb0="00040000" w:csb1="00000000"/>
    <w:embedRegular r:id="rId9" w:fontKey="{85895B93-2D2C-4D82-BFED-C29CBA7946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6CFB0711">
        <w:pPr>
          <w:pStyle w:val="3"/>
          <w:jc w:val="center"/>
        </w:pPr>
        <w:r>
          <w:fldChar w:fldCharType="begin"/>
        </w:r>
        <w:r>
          <w:instrText xml:space="preserve">PAGE   \* MERGEFORMAT</w:instrText>
        </w:r>
        <w:r>
          <w:fldChar w:fldCharType="separate"/>
        </w:r>
        <w:r>
          <w:rPr>
            <w:lang w:val="zh-CN"/>
          </w:rPr>
          <w:t>3</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587B6C"/>
    <w:multiLevelType w:val="singleLevel"/>
    <w:tmpl w:val="EC587B6C"/>
    <w:lvl w:ilvl="0" w:tentative="0">
      <w:start w:val="5"/>
      <w:numFmt w:val="chineseCounting"/>
      <w:suff w:val="nothing"/>
      <w:lvlText w:val="%1、"/>
      <w:lvlJc w:val="left"/>
      <w:rPr>
        <w:rFonts w:hint="eastAsia"/>
      </w:rPr>
    </w:lvl>
  </w:abstractNum>
  <w:abstractNum w:abstractNumId="1">
    <w:nsid w:val="6E97CC83"/>
    <w:multiLevelType w:val="singleLevel"/>
    <w:tmpl w:val="6E97CC83"/>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hOWRhNzQxNDQ1ZDhkZjJhMzc4ZjkzZjExZjU1MmEifQ=="/>
  </w:docVars>
  <w:rsids>
    <w:rsidRoot w:val="00AD5DDA"/>
    <w:rsid w:val="00002675"/>
    <w:rsid w:val="00027488"/>
    <w:rsid w:val="00030D83"/>
    <w:rsid w:val="000506F3"/>
    <w:rsid w:val="000519F2"/>
    <w:rsid w:val="00063C9B"/>
    <w:rsid w:val="00083EAE"/>
    <w:rsid w:val="00093111"/>
    <w:rsid w:val="000B4B2E"/>
    <w:rsid w:val="000B606C"/>
    <w:rsid w:val="000C40B6"/>
    <w:rsid w:val="000D19C8"/>
    <w:rsid w:val="000F10CB"/>
    <w:rsid w:val="00103E3F"/>
    <w:rsid w:val="001153DA"/>
    <w:rsid w:val="001230EA"/>
    <w:rsid w:val="0013535D"/>
    <w:rsid w:val="001415AB"/>
    <w:rsid w:val="00143B40"/>
    <w:rsid w:val="00150B19"/>
    <w:rsid w:val="00152429"/>
    <w:rsid w:val="001531FA"/>
    <w:rsid w:val="00156610"/>
    <w:rsid w:val="0016135F"/>
    <w:rsid w:val="00191D10"/>
    <w:rsid w:val="001A7361"/>
    <w:rsid w:val="001B2997"/>
    <w:rsid w:val="001D527D"/>
    <w:rsid w:val="001F7B0C"/>
    <w:rsid w:val="00200642"/>
    <w:rsid w:val="00201D3C"/>
    <w:rsid w:val="00206EB4"/>
    <w:rsid w:val="00260260"/>
    <w:rsid w:val="002804E9"/>
    <w:rsid w:val="002B2908"/>
    <w:rsid w:val="002C5439"/>
    <w:rsid w:val="002D5B60"/>
    <w:rsid w:val="00302336"/>
    <w:rsid w:val="00317C6C"/>
    <w:rsid w:val="00317DA8"/>
    <w:rsid w:val="00323554"/>
    <w:rsid w:val="003520E9"/>
    <w:rsid w:val="003602AC"/>
    <w:rsid w:val="00367288"/>
    <w:rsid w:val="003B1B59"/>
    <w:rsid w:val="003B31D5"/>
    <w:rsid w:val="003E7463"/>
    <w:rsid w:val="003F05C6"/>
    <w:rsid w:val="00417CE1"/>
    <w:rsid w:val="0044625B"/>
    <w:rsid w:val="00450011"/>
    <w:rsid w:val="00462EBB"/>
    <w:rsid w:val="00463898"/>
    <w:rsid w:val="004A4A37"/>
    <w:rsid w:val="004C6086"/>
    <w:rsid w:val="004E7364"/>
    <w:rsid w:val="00501C19"/>
    <w:rsid w:val="00511C55"/>
    <w:rsid w:val="00542185"/>
    <w:rsid w:val="005579B4"/>
    <w:rsid w:val="00561E49"/>
    <w:rsid w:val="00581698"/>
    <w:rsid w:val="00587938"/>
    <w:rsid w:val="005B1C4A"/>
    <w:rsid w:val="005B3036"/>
    <w:rsid w:val="005C6E5B"/>
    <w:rsid w:val="005D54D6"/>
    <w:rsid w:val="00617853"/>
    <w:rsid w:val="00625E44"/>
    <w:rsid w:val="00654ED2"/>
    <w:rsid w:val="00661635"/>
    <w:rsid w:val="006711DF"/>
    <w:rsid w:val="00684B0F"/>
    <w:rsid w:val="006B0D56"/>
    <w:rsid w:val="006C2ED5"/>
    <w:rsid w:val="006F305C"/>
    <w:rsid w:val="0070025D"/>
    <w:rsid w:val="00711C82"/>
    <w:rsid w:val="007153B6"/>
    <w:rsid w:val="00726F99"/>
    <w:rsid w:val="007532A6"/>
    <w:rsid w:val="00764436"/>
    <w:rsid w:val="007820AB"/>
    <w:rsid w:val="00803632"/>
    <w:rsid w:val="00826695"/>
    <w:rsid w:val="0086674C"/>
    <w:rsid w:val="00877997"/>
    <w:rsid w:val="00881533"/>
    <w:rsid w:val="00883012"/>
    <w:rsid w:val="00886844"/>
    <w:rsid w:val="008B3981"/>
    <w:rsid w:val="008C27AF"/>
    <w:rsid w:val="008C6FA8"/>
    <w:rsid w:val="008D2D05"/>
    <w:rsid w:val="008E768D"/>
    <w:rsid w:val="008F2AD3"/>
    <w:rsid w:val="00901B9C"/>
    <w:rsid w:val="00913330"/>
    <w:rsid w:val="00923999"/>
    <w:rsid w:val="0093377A"/>
    <w:rsid w:val="00954AE9"/>
    <w:rsid w:val="00957DBF"/>
    <w:rsid w:val="009834E5"/>
    <w:rsid w:val="00993DF9"/>
    <w:rsid w:val="009A0EFD"/>
    <w:rsid w:val="009D7179"/>
    <w:rsid w:val="009E0901"/>
    <w:rsid w:val="009E2E55"/>
    <w:rsid w:val="009E5A22"/>
    <w:rsid w:val="00A0220C"/>
    <w:rsid w:val="00A113F8"/>
    <w:rsid w:val="00A5014F"/>
    <w:rsid w:val="00A849F7"/>
    <w:rsid w:val="00AA7A98"/>
    <w:rsid w:val="00AB418B"/>
    <w:rsid w:val="00AD5DDA"/>
    <w:rsid w:val="00B27FCB"/>
    <w:rsid w:val="00B40FAB"/>
    <w:rsid w:val="00B41964"/>
    <w:rsid w:val="00B5405A"/>
    <w:rsid w:val="00B543DB"/>
    <w:rsid w:val="00BA397E"/>
    <w:rsid w:val="00BB1603"/>
    <w:rsid w:val="00BB1A63"/>
    <w:rsid w:val="00BB4F00"/>
    <w:rsid w:val="00BD454C"/>
    <w:rsid w:val="00BE52E6"/>
    <w:rsid w:val="00BF3114"/>
    <w:rsid w:val="00C0533D"/>
    <w:rsid w:val="00C058CE"/>
    <w:rsid w:val="00C12193"/>
    <w:rsid w:val="00C3286E"/>
    <w:rsid w:val="00C34826"/>
    <w:rsid w:val="00C3508A"/>
    <w:rsid w:val="00C43DF1"/>
    <w:rsid w:val="00C541FC"/>
    <w:rsid w:val="00C861A3"/>
    <w:rsid w:val="00C91438"/>
    <w:rsid w:val="00C93EB2"/>
    <w:rsid w:val="00CA4011"/>
    <w:rsid w:val="00CF18A2"/>
    <w:rsid w:val="00D023E8"/>
    <w:rsid w:val="00D0418D"/>
    <w:rsid w:val="00D07776"/>
    <w:rsid w:val="00D15122"/>
    <w:rsid w:val="00D17AAC"/>
    <w:rsid w:val="00D340AE"/>
    <w:rsid w:val="00D6263F"/>
    <w:rsid w:val="00D70870"/>
    <w:rsid w:val="00D75F3D"/>
    <w:rsid w:val="00D95AB1"/>
    <w:rsid w:val="00DA6957"/>
    <w:rsid w:val="00DE455A"/>
    <w:rsid w:val="00DE4800"/>
    <w:rsid w:val="00DE4AAD"/>
    <w:rsid w:val="00DE7927"/>
    <w:rsid w:val="00E03E38"/>
    <w:rsid w:val="00E40828"/>
    <w:rsid w:val="00E4402A"/>
    <w:rsid w:val="00E50673"/>
    <w:rsid w:val="00E53265"/>
    <w:rsid w:val="00E57B81"/>
    <w:rsid w:val="00E6096D"/>
    <w:rsid w:val="00E625A6"/>
    <w:rsid w:val="00E7775E"/>
    <w:rsid w:val="00E81A46"/>
    <w:rsid w:val="00E84F59"/>
    <w:rsid w:val="00EA0BF1"/>
    <w:rsid w:val="00EB6165"/>
    <w:rsid w:val="00EB66B2"/>
    <w:rsid w:val="00ED4B96"/>
    <w:rsid w:val="00ED6D05"/>
    <w:rsid w:val="00EF2E80"/>
    <w:rsid w:val="00EF69FA"/>
    <w:rsid w:val="00F06507"/>
    <w:rsid w:val="00F12A19"/>
    <w:rsid w:val="00F14DFE"/>
    <w:rsid w:val="00F379CC"/>
    <w:rsid w:val="00F52885"/>
    <w:rsid w:val="00F55A4D"/>
    <w:rsid w:val="00F600A4"/>
    <w:rsid w:val="00F70A53"/>
    <w:rsid w:val="00F864B2"/>
    <w:rsid w:val="00F92E5D"/>
    <w:rsid w:val="00F93936"/>
    <w:rsid w:val="00FA27B3"/>
    <w:rsid w:val="00FA5586"/>
    <w:rsid w:val="00FB3458"/>
    <w:rsid w:val="00FB58AF"/>
    <w:rsid w:val="00FC12A4"/>
    <w:rsid w:val="00FC4A93"/>
    <w:rsid w:val="00FD27DF"/>
    <w:rsid w:val="00FD7EDF"/>
    <w:rsid w:val="00FE0499"/>
    <w:rsid w:val="00FF3AC5"/>
    <w:rsid w:val="011618E0"/>
    <w:rsid w:val="06837E3B"/>
    <w:rsid w:val="09436A8B"/>
    <w:rsid w:val="0D4A4828"/>
    <w:rsid w:val="10797DC1"/>
    <w:rsid w:val="11FC1ECD"/>
    <w:rsid w:val="125379AF"/>
    <w:rsid w:val="12C81DAF"/>
    <w:rsid w:val="1ADB1CDF"/>
    <w:rsid w:val="1C6472BB"/>
    <w:rsid w:val="1CA4563B"/>
    <w:rsid w:val="22910410"/>
    <w:rsid w:val="28BF7CA2"/>
    <w:rsid w:val="2A4E308A"/>
    <w:rsid w:val="2FB67708"/>
    <w:rsid w:val="31C679AA"/>
    <w:rsid w:val="37052D23"/>
    <w:rsid w:val="3A52002D"/>
    <w:rsid w:val="3FFF87A0"/>
    <w:rsid w:val="414933E0"/>
    <w:rsid w:val="42EE0B0F"/>
    <w:rsid w:val="440E76BA"/>
    <w:rsid w:val="45B147A1"/>
    <w:rsid w:val="47AA4941"/>
    <w:rsid w:val="48B445F1"/>
    <w:rsid w:val="4D292E6F"/>
    <w:rsid w:val="5450644C"/>
    <w:rsid w:val="54FD7A17"/>
    <w:rsid w:val="5E287173"/>
    <w:rsid w:val="62210161"/>
    <w:rsid w:val="626F696F"/>
    <w:rsid w:val="62CD2097"/>
    <w:rsid w:val="63936E3D"/>
    <w:rsid w:val="66140709"/>
    <w:rsid w:val="66CF2882"/>
    <w:rsid w:val="672D39C9"/>
    <w:rsid w:val="67971548"/>
    <w:rsid w:val="67E934CF"/>
    <w:rsid w:val="6A8F5EDE"/>
    <w:rsid w:val="6B166481"/>
    <w:rsid w:val="735760D9"/>
    <w:rsid w:val="748C2B39"/>
    <w:rsid w:val="74BF3F35"/>
    <w:rsid w:val="761076F7"/>
    <w:rsid w:val="773A5AF5"/>
    <w:rsid w:val="79B603F2"/>
    <w:rsid w:val="7CCC3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autoRedefine/>
    <w:semiHidden/>
    <w:qFormat/>
    <w:uiPriority w:val="0"/>
    <w:rPr>
      <w:sz w:val="18"/>
      <w:szCs w:val="18"/>
    </w:rPr>
  </w:style>
  <w:style w:type="paragraph" w:styleId="3">
    <w:name w:val="footer"/>
    <w:basedOn w:val="1"/>
    <w:link w:val="12"/>
    <w:autoRedefine/>
    <w:qFormat/>
    <w:uiPriority w:val="99"/>
    <w:pPr>
      <w:tabs>
        <w:tab w:val="center" w:pos="4153"/>
        <w:tab w:val="right" w:pos="8306"/>
      </w:tabs>
      <w:snapToGrid w:val="0"/>
      <w:jc w:val="left"/>
    </w:pPr>
    <w:rPr>
      <w:sz w:val="18"/>
      <w:szCs w:val="18"/>
    </w:rPr>
  </w:style>
  <w:style w:type="paragraph" w:styleId="4">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semiHidden/>
    <w:qFormat/>
    <w:uiPriority w:val="0"/>
    <w:pPr>
      <w:spacing w:before="120" w:after="120"/>
      <w:jc w:val="left"/>
    </w:pPr>
    <w:rPr>
      <w:b/>
      <w:bCs/>
      <w:caps/>
      <w:sz w:val="20"/>
      <w:szCs w:val="20"/>
    </w:rPr>
  </w:style>
  <w:style w:type="paragraph" w:styleId="6">
    <w:name w:val="Normal (Web)"/>
    <w:basedOn w:val="1"/>
    <w:autoRedefine/>
    <w:qFormat/>
    <w:uiPriority w:val="0"/>
    <w:pPr>
      <w:widowControl/>
      <w:spacing w:before="100" w:beforeAutospacing="1" w:after="100" w:afterAutospacing="1"/>
      <w:jc w:val="left"/>
    </w:pPr>
    <w:rPr>
      <w:rFonts w:ascii="宋体" w:hAnsi="宋体"/>
      <w:kern w:val="0"/>
      <w:sz w:val="24"/>
    </w:rPr>
  </w:style>
  <w:style w:type="table" w:styleId="8">
    <w:name w:val="Table Grid"/>
    <w:basedOn w:val="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autoRedefine/>
    <w:qFormat/>
    <w:uiPriority w:val="34"/>
    <w:pPr>
      <w:ind w:firstLine="420" w:firstLineChars="200"/>
    </w:pPr>
  </w:style>
  <w:style w:type="character" w:customStyle="1" w:styleId="11">
    <w:name w:val="页眉 字符"/>
    <w:basedOn w:val="9"/>
    <w:link w:val="4"/>
    <w:autoRedefine/>
    <w:qFormat/>
    <w:uiPriority w:val="0"/>
    <w:rPr>
      <w:kern w:val="2"/>
      <w:sz w:val="18"/>
      <w:szCs w:val="18"/>
    </w:rPr>
  </w:style>
  <w:style w:type="character" w:customStyle="1" w:styleId="12">
    <w:name w:val="页脚 字符"/>
    <w:basedOn w:val="9"/>
    <w:link w:val="3"/>
    <w:autoRedefine/>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JWC</Company>
  <Pages>7</Pages>
  <Words>1845</Words>
  <Characters>1996</Characters>
  <Lines>13</Lines>
  <Paragraphs>3</Paragraphs>
  <TotalTime>21</TotalTime>
  <ScaleCrop>false</ScaleCrop>
  <LinksUpToDate>false</LinksUpToDate>
  <CharactersWithSpaces>2064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2019-03-04T14:24:00Z</dcterms:created>
  <dc:creator>LiTao</dc:creator>
  <cp:lastModifiedBy>李霞</cp:lastModifiedBy>
  <cp:lastPrinted>2024-04-09T01:16:00Z</cp:lastPrinted>
  <dcterms:modified xsi:type="dcterms:W3CDTF">2024-11-05T05:00:04Z</dcterms:modified>
  <dc:title>附件1：理论课程撰写模板</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F2B7192A22C9451EB4910FBD851D9D1E_13</vt:lpwstr>
  </property>
</Properties>
</file>