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B44AA">
        <w:trPr>
          <w:jc w:val="center"/>
        </w:trPr>
        <w:tc>
          <w:tcPr>
            <w:tcW w:w="9060" w:type="dxa"/>
            <w:gridSpan w:val="2"/>
            <w:vAlign w:val="center"/>
          </w:tcPr>
          <w:p w:rsidR="005B44AA" w:rsidRDefault="0032695B">
            <w:pPr>
              <w:adjustRightInd w:val="0"/>
              <w:snapToGrid w:val="0"/>
              <w:spacing w:line="300" w:lineRule="auto"/>
              <w:ind w:firstLineChars="0" w:firstLine="0"/>
              <w:jc w:val="center"/>
              <w:outlineLvl w:val="0"/>
              <w:rPr>
                <w:rFonts w:eastAsia="黑体"/>
                <w:b/>
                <w:sz w:val="40"/>
                <w:szCs w:val="40"/>
              </w:rPr>
            </w:pPr>
            <w:bookmarkStart w:id="0" w:name="_Hlk135823657"/>
            <w:r>
              <w:rPr>
                <w:rFonts w:eastAsia="黑体"/>
                <w:b/>
                <w:sz w:val="40"/>
                <w:szCs w:val="40"/>
              </w:rPr>
              <w:t>齐鲁工业大学（山东省科学院）</w:t>
            </w:r>
          </w:p>
        </w:tc>
      </w:tr>
      <w:tr w:rsidR="005B44AA">
        <w:trPr>
          <w:jc w:val="center"/>
        </w:trPr>
        <w:tc>
          <w:tcPr>
            <w:tcW w:w="9060" w:type="dxa"/>
            <w:gridSpan w:val="2"/>
            <w:vAlign w:val="center"/>
          </w:tcPr>
          <w:p w:rsidR="005B44AA" w:rsidRDefault="0032695B">
            <w:pPr>
              <w:adjustRightInd w:val="0"/>
              <w:snapToGrid w:val="0"/>
              <w:spacing w:line="300" w:lineRule="auto"/>
              <w:ind w:firstLineChars="0" w:firstLine="0"/>
              <w:jc w:val="center"/>
              <w:outlineLvl w:val="0"/>
              <w:rPr>
                <w:rFonts w:eastAsia="黑体"/>
                <w:b/>
                <w:sz w:val="40"/>
                <w:szCs w:val="40"/>
              </w:rPr>
            </w:pPr>
            <w:r>
              <w:rPr>
                <w:rFonts w:eastAsia="黑体"/>
                <w:b/>
                <w:sz w:val="40"/>
                <w:szCs w:val="40"/>
              </w:rPr>
              <w:t>专业学位硕士研究生培养方案</w:t>
            </w:r>
          </w:p>
        </w:tc>
      </w:tr>
      <w:tr w:rsidR="005B44AA">
        <w:trPr>
          <w:jc w:val="center"/>
        </w:trPr>
        <w:tc>
          <w:tcPr>
            <w:tcW w:w="4530" w:type="dxa"/>
          </w:tcPr>
          <w:p w:rsidR="005B44AA" w:rsidRDefault="0032695B">
            <w:pPr>
              <w:ind w:firstLineChars="0" w:firstLine="0"/>
              <w:jc w:val="right"/>
              <w:rPr>
                <w:rFonts w:eastAsia="黑体"/>
              </w:rPr>
            </w:pPr>
            <w:r>
              <w:rPr>
                <w:rFonts w:eastAsia="黑体"/>
                <w:b/>
                <w:bCs/>
              </w:rPr>
              <w:t>类别代码及名称：</w:t>
            </w:r>
          </w:p>
        </w:tc>
        <w:tc>
          <w:tcPr>
            <w:tcW w:w="4530" w:type="dxa"/>
            <w:vAlign w:val="center"/>
          </w:tcPr>
          <w:p w:rsidR="005B44AA" w:rsidRDefault="0032695B">
            <w:pPr>
              <w:ind w:firstLineChars="0" w:firstLine="0"/>
              <w:rPr>
                <w:rFonts w:eastAsia="黑体"/>
                <w:b/>
                <w:bCs/>
              </w:rPr>
            </w:pPr>
            <w:r>
              <w:rPr>
                <w:rFonts w:eastAsia="黑体"/>
                <w:b/>
                <w:bCs/>
              </w:rPr>
              <w:t>0856</w:t>
            </w:r>
            <w:r>
              <w:rPr>
                <w:rFonts w:eastAsia="黑体" w:hint="eastAsia"/>
                <w:b/>
                <w:bCs/>
              </w:rPr>
              <w:t>材料与化工</w:t>
            </w:r>
          </w:p>
        </w:tc>
      </w:tr>
      <w:tr w:rsidR="005B44AA">
        <w:trPr>
          <w:jc w:val="center"/>
        </w:trPr>
        <w:tc>
          <w:tcPr>
            <w:tcW w:w="4530" w:type="dxa"/>
          </w:tcPr>
          <w:p w:rsidR="005B44AA" w:rsidRDefault="0032695B">
            <w:pPr>
              <w:ind w:firstLineChars="0" w:firstLine="0"/>
              <w:jc w:val="right"/>
              <w:rPr>
                <w:rFonts w:eastAsia="黑体"/>
              </w:rPr>
            </w:pPr>
            <w:r>
              <w:rPr>
                <w:rFonts w:eastAsia="黑体"/>
                <w:b/>
                <w:bCs/>
              </w:rPr>
              <w:t>领域代码及名称：</w:t>
            </w:r>
          </w:p>
        </w:tc>
        <w:tc>
          <w:tcPr>
            <w:tcW w:w="4530" w:type="dxa"/>
          </w:tcPr>
          <w:p w:rsidR="005B44AA" w:rsidRDefault="0032695B">
            <w:pPr>
              <w:ind w:firstLineChars="0" w:firstLine="0"/>
              <w:rPr>
                <w:rFonts w:eastAsia="黑体"/>
                <w:b/>
                <w:bCs/>
              </w:rPr>
            </w:pPr>
            <w:r>
              <w:rPr>
                <w:rFonts w:eastAsia="黑体" w:hint="eastAsia"/>
                <w:b/>
                <w:bCs/>
              </w:rPr>
              <w:t>085606</w:t>
            </w:r>
            <w:r>
              <w:rPr>
                <w:rFonts w:eastAsia="黑体" w:hint="eastAsia"/>
                <w:b/>
                <w:bCs/>
              </w:rPr>
              <w:t>材料与化工（轻化工程）</w:t>
            </w:r>
          </w:p>
        </w:tc>
      </w:tr>
    </w:tbl>
    <w:bookmarkEnd w:id="0"/>
    <w:p w:rsidR="005B44AA" w:rsidRDefault="0032695B">
      <w:pPr>
        <w:pStyle w:val="1"/>
      </w:pPr>
      <w:r>
        <w:rPr>
          <w:rFonts w:hint="eastAsia"/>
        </w:rPr>
        <w:t>一、类别领域</w:t>
      </w:r>
      <w:r>
        <w:t>简介</w:t>
      </w:r>
    </w:p>
    <w:p w:rsidR="005B44AA" w:rsidRDefault="0032695B">
      <w:r>
        <w:rPr>
          <w:rFonts w:hint="eastAsia"/>
        </w:rPr>
        <w:t>齐鲁工业大学（山东省科学院）制浆造纸工程专业于</w:t>
      </w:r>
      <w:r>
        <w:rPr>
          <w:rFonts w:hint="eastAsia"/>
        </w:rPr>
        <w:t>1978</w:t>
      </w:r>
      <w:r>
        <w:rPr>
          <w:rFonts w:hint="eastAsia"/>
        </w:rPr>
        <w:t>年招收本科生，</w:t>
      </w:r>
      <w:r>
        <w:rPr>
          <w:rFonts w:hint="eastAsia"/>
        </w:rPr>
        <w:t>2006</w:t>
      </w:r>
      <w:r>
        <w:rPr>
          <w:rFonts w:hint="eastAsia"/>
        </w:rPr>
        <w:t>年增列轻工技术与工程一级学科硕士点，</w:t>
      </w:r>
      <w:r>
        <w:rPr>
          <w:rFonts w:hint="eastAsia"/>
        </w:rPr>
        <w:t>2021</w:t>
      </w:r>
      <w:r>
        <w:rPr>
          <w:rFonts w:hint="eastAsia"/>
        </w:rPr>
        <w:t>年在材料与化工类别轻化工程领域开始招收专业学位研究生。</w:t>
      </w:r>
    </w:p>
    <w:p w:rsidR="005B44AA" w:rsidRDefault="0032695B">
      <w:r>
        <w:rPr>
          <w:rFonts w:hint="eastAsia"/>
        </w:rPr>
        <w:t>该领域依托生物</w:t>
      </w:r>
      <w:proofErr w:type="gramStart"/>
      <w:r>
        <w:rPr>
          <w:rFonts w:hint="eastAsia"/>
        </w:rPr>
        <w:t>基材料</w:t>
      </w:r>
      <w:proofErr w:type="gramEnd"/>
      <w:r>
        <w:rPr>
          <w:rFonts w:hint="eastAsia"/>
        </w:rPr>
        <w:t>与绿色造纸省部共建国家重点实验室、生物</w:t>
      </w:r>
      <w:proofErr w:type="gramStart"/>
      <w:r>
        <w:rPr>
          <w:rFonts w:hint="eastAsia"/>
        </w:rPr>
        <w:t>基产品</w:t>
      </w:r>
      <w:proofErr w:type="gramEnd"/>
      <w:r>
        <w:rPr>
          <w:rFonts w:hint="eastAsia"/>
        </w:rPr>
        <w:t>绿色技术教育部协同创新中心、制浆造纸科学与技术教育部重点实验室等</w:t>
      </w:r>
      <w:r>
        <w:rPr>
          <w:rFonts w:hint="eastAsia"/>
        </w:rPr>
        <w:t>10</w:t>
      </w:r>
      <w:r>
        <w:rPr>
          <w:rFonts w:hint="eastAsia"/>
        </w:rPr>
        <w:t>余个高层次科研创新平台，在制浆造纸工程、生物质化学与工程、皮革化学与工程、印刷与包装工程等方面特色显著，形成了一支结构合理、富有创新精神的教学科研队伍，并拥有一批国家级、省部级领军人才，例如国家“万人计划”、国家“百千万人才工程”、国务院特贴专家、国家有突出贡献中青年专家、山东省教学名师、山东省教书育人楷模、山东省泰山学者特聘教授、泰山学者青年专家、山东省有突出贡献中青年专家等高层次人才。</w:t>
      </w:r>
    </w:p>
    <w:p w:rsidR="005B44AA" w:rsidRDefault="0032695B">
      <w:pPr>
        <w:pStyle w:val="1"/>
      </w:pPr>
      <w:r>
        <w:rPr>
          <w:rFonts w:hint="eastAsia"/>
        </w:rPr>
        <w:t>二、培养目标</w:t>
      </w:r>
    </w:p>
    <w:p w:rsidR="005B44AA" w:rsidRDefault="0032695B">
      <w:r>
        <w:rPr>
          <w:rFonts w:hint="eastAsia"/>
        </w:rPr>
        <w:t>培养为社会主义现代化建设服务，德、智、体、美、</w:t>
      </w:r>
      <w:proofErr w:type="gramStart"/>
      <w:r>
        <w:rPr>
          <w:rFonts w:hint="eastAsia"/>
        </w:rPr>
        <w:t>劳</w:t>
      </w:r>
      <w:proofErr w:type="gramEnd"/>
      <w:r>
        <w:rPr>
          <w:rFonts w:hint="eastAsia"/>
        </w:rPr>
        <w:t>全面发展，以区域领先和行业引导为目标，以实践能力培养为重点，满足行业需要的应用型、复合式高层次工程技术和工程管理人才。</w:t>
      </w:r>
    </w:p>
    <w:p w:rsidR="005B44AA" w:rsidRDefault="0032695B">
      <w:r>
        <w:rPr>
          <w:rFonts w:hint="eastAsia"/>
        </w:rPr>
        <w:lastRenderedPageBreak/>
        <w:t>具体要求如下：</w:t>
      </w:r>
    </w:p>
    <w:p w:rsidR="005B44AA" w:rsidRDefault="0032695B">
      <w:r>
        <w:rPr>
          <w:rFonts w:hint="eastAsia"/>
        </w:rPr>
        <w:t>1.</w:t>
      </w:r>
      <w:r>
        <w:rPr>
          <w:rFonts w:hint="eastAsia"/>
        </w:rPr>
        <w:t>拥护中国共产党的领导，热爱祖国，遵纪守法，具有服务国家和人民的高度社会责任感、良好的职业道德和创业精神、科学严谨和求真务实的学习态度和工作作风，身心健康。</w:t>
      </w:r>
    </w:p>
    <w:p w:rsidR="005B44AA" w:rsidRDefault="0032695B">
      <w:r>
        <w:rPr>
          <w:rFonts w:hint="eastAsia"/>
        </w:rPr>
        <w:t>2.</w:t>
      </w:r>
      <w:r>
        <w:rPr>
          <w:rFonts w:hint="eastAsia"/>
        </w:rPr>
        <w:t>掌握材料与化工专业类别轻化工程领域的基础理论和相关专业知识；掌握解决本专业类别技术问题的先进技术方法和分析技术手段；能熟练查阅本专业类别的国内外科技资料；了解本专业类别的研究现状和发展趋势；具有进行本专业类别工程技术研发和技术创新的能力；具有独立承担本专业类别工程项目和工程管理的能力。</w:t>
      </w:r>
    </w:p>
    <w:p w:rsidR="005B44AA" w:rsidRDefault="0032695B">
      <w:r>
        <w:rPr>
          <w:rFonts w:hint="eastAsia"/>
        </w:rPr>
        <w:t>3.</w:t>
      </w:r>
      <w:r>
        <w:rPr>
          <w:rFonts w:hint="eastAsia"/>
        </w:rPr>
        <w:t>掌握一门外国语言。</w:t>
      </w:r>
    </w:p>
    <w:p w:rsidR="005B44AA" w:rsidRDefault="0032695B">
      <w:pPr>
        <w:pStyle w:val="1"/>
      </w:pPr>
      <w:r>
        <w:rPr>
          <w:rFonts w:hint="eastAsia"/>
        </w:rPr>
        <w:t>三、基本要求</w:t>
      </w:r>
    </w:p>
    <w:p w:rsidR="005B44AA" w:rsidRDefault="0032695B">
      <w:pPr>
        <w:pStyle w:val="2"/>
      </w:pPr>
      <w:r>
        <w:rPr>
          <w:rFonts w:hint="eastAsia"/>
        </w:rPr>
        <w:t>1.</w:t>
      </w:r>
      <w:r>
        <w:rPr>
          <w:rFonts w:hint="eastAsia"/>
        </w:rPr>
        <w:t>品德素质要求</w:t>
      </w:r>
    </w:p>
    <w:p w:rsidR="005B44AA" w:rsidRDefault="0032695B">
      <w:r>
        <w:rPr>
          <w:rFonts w:hint="eastAsia"/>
        </w:rPr>
        <w:t>拥护中国共产党的领导，热爱祖国，遵纪守法，具有高度的社会责任感、强烈的事业心及科学精神，坚持实事求是、严谨勤奋、勇于创新，遵守职业道德和工程伦理。掌握科学的方法，有正确的工程思维，尊重客观规律，能基于可持续发展的观点、运用工程与工艺相结合的综合分析方法来处理本专业类别工程问题。具有良好的身心素质和环境适应能力，富有合作精神。具有科学严谨和求真务实的学习态度和工作作风。诚实守信，恪守学术道德规范，尊重他人的知识产权，杜绝抄袭与剽窃、伪造与篡改等学术不端行为。</w:t>
      </w:r>
    </w:p>
    <w:p w:rsidR="005B44AA" w:rsidRDefault="0032695B">
      <w:pPr>
        <w:pStyle w:val="2"/>
      </w:pPr>
      <w:r>
        <w:rPr>
          <w:rFonts w:hint="eastAsia"/>
        </w:rPr>
        <w:lastRenderedPageBreak/>
        <w:t>2.</w:t>
      </w:r>
      <w:r>
        <w:rPr>
          <w:rFonts w:hint="eastAsia"/>
        </w:rPr>
        <w:t>知识结构要求</w:t>
      </w:r>
    </w:p>
    <w:p w:rsidR="005B44AA" w:rsidRDefault="0032695B">
      <w:r>
        <w:rPr>
          <w:rFonts w:hint="eastAsia"/>
        </w:rPr>
        <w:t>掌握材料与化工专业类别扎实的基本理论与相关的专业知识；掌握解决本专业类别技术问题的先进技术方法和技术分析手段；能熟练查阅本专业类别的国内外科技资料，了解本专业类别的研究现状和发展趋势；具有进行本专业类别工程技术研发与技术创新的能力；具有独立承担本专业类别工程项目和工程管理的能力。</w:t>
      </w:r>
    </w:p>
    <w:p w:rsidR="005B44AA" w:rsidRDefault="0032695B">
      <w:pPr>
        <w:pStyle w:val="2"/>
      </w:pPr>
      <w:r>
        <w:rPr>
          <w:rFonts w:hint="eastAsia"/>
        </w:rPr>
        <w:t>3.</w:t>
      </w:r>
      <w:r>
        <w:rPr>
          <w:rFonts w:hint="eastAsia"/>
        </w:rPr>
        <w:t>专业能力要求</w:t>
      </w:r>
    </w:p>
    <w:p w:rsidR="005B44AA" w:rsidRDefault="0032695B">
      <w:r>
        <w:rPr>
          <w:rFonts w:hint="eastAsia"/>
        </w:rPr>
        <w:t>熟练掌握一门外国语言</w:t>
      </w:r>
      <w:r>
        <w:rPr>
          <w:rFonts w:hint="eastAsia"/>
        </w:rPr>
        <w:t xml:space="preserve"> </w:t>
      </w:r>
      <w:r>
        <w:rPr>
          <w:rFonts w:hint="eastAsia"/>
        </w:rPr>
        <w:t>，能阅读本专业的中文和外文资料，能熟练撰写本专业类别中文和外文论文。具有较强的学习和实践能力，熟悉相关学科基础理论知识和技术体系，能系统掌握本学科的专业知识、工程技术原理和方法。</w:t>
      </w:r>
    </w:p>
    <w:p w:rsidR="005B44AA" w:rsidRDefault="0032695B">
      <w:pPr>
        <w:pStyle w:val="1"/>
      </w:pPr>
      <w:r>
        <w:rPr>
          <w:rFonts w:hint="eastAsia"/>
        </w:rPr>
        <w:t>四、培养方向</w:t>
      </w:r>
    </w:p>
    <w:p w:rsidR="005B44AA" w:rsidRDefault="0032695B">
      <w:pPr>
        <w:pStyle w:val="2"/>
      </w:pPr>
      <w:r>
        <w:rPr>
          <w:rFonts w:hint="eastAsia"/>
        </w:rPr>
        <w:t>1.</w:t>
      </w:r>
      <w:r>
        <w:t xml:space="preserve"> </w:t>
      </w:r>
      <w:r>
        <w:rPr>
          <w:rFonts w:hint="eastAsia"/>
        </w:rPr>
        <w:t>生物基功能材料（方向</w:t>
      </w:r>
      <w:r>
        <w:rPr>
          <w:rFonts w:hint="eastAsia"/>
        </w:rPr>
        <w:t>1</w:t>
      </w:r>
      <w:r>
        <w:rPr>
          <w:rFonts w:hint="eastAsia"/>
        </w:rPr>
        <w:t>）</w:t>
      </w:r>
    </w:p>
    <w:p w:rsidR="005B44AA" w:rsidRDefault="0032695B">
      <w:r>
        <w:rPr>
          <w:rFonts w:hint="eastAsia"/>
        </w:rPr>
        <w:t>研究植物纤维制浆造纸过程生物技术；植物资源化学工程与木质纤维基功能材料；纸浆纤维的酶法改性和调控技术；生物质精炼过程绿色化学技术及酶制剂调控技术；</w:t>
      </w:r>
      <w:proofErr w:type="gramStart"/>
      <w:r>
        <w:rPr>
          <w:rFonts w:hint="eastAsia"/>
        </w:rPr>
        <w:t>造纸湿部生物</w:t>
      </w:r>
      <w:proofErr w:type="gramEnd"/>
      <w:r>
        <w:rPr>
          <w:rFonts w:hint="eastAsia"/>
        </w:rPr>
        <w:t>调控技术；新型造纸化学品开发与应用；生物</w:t>
      </w:r>
      <w:proofErr w:type="gramStart"/>
      <w:r>
        <w:rPr>
          <w:rFonts w:hint="eastAsia"/>
        </w:rPr>
        <w:t>基功能纸</w:t>
      </w:r>
      <w:proofErr w:type="gramEnd"/>
      <w:r>
        <w:rPr>
          <w:rFonts w:hint="eastAsia"/>
        </w:rPr>
        <w:t>和功能助剂的制备工艺技术。</w:t>
      </w:r>
    </w:p>
    <w:p w:rsidR="005B44AA" w:rsidRDefault="0032695B">
      <w:pPr>
        <w:pStyle w:val="2"/>
      </w:pPr>
      <w:r>
        <w:rPr>
          <w:rFonts w:hint="eastAsia"/>
        </w:rPr>
        <w:t>2.</w:t>
      </w:r>
      <w:r>
        <w:t xml:space="preserve"> </w:t>
      </w:r>
      <w:r>
        <w:rPr>
          <w:rFonts w:hint="eastAsia"/>
        </w:rPr>
        <w:t>生物质资源与材料（方向</w:t>
      </w:r>
      <w:r>
        <w:t>2</w:t>
      </w:r>
      <w:r>
        <w:rPr>
          <w:rFonts w:hint="eastAsia"/>
        </w:rPr>
        <w:t>）</w:t>
      </w:r>
    </w:p>
    <w:p w:rsidR="005B44AA" w:rsidRDefault="0032695B">
      <w:r>
        <w:rPr>
          <w:rFonts w:hint="eastAsia"/>
        </w:rPr>
        <w:t>研究不同植物资源细胞的超微结构和化学组分分布；生物质组分的高效、清洁分离技术及其化学表征；生物质主流组分的衍生改性及复合材料</w:t>
      </w:r>
      <w:r>
        <w:rPr>
          <w:rFonts w:hint="eastAsia"/>
        </w:rPr>
        <w:lastRenderedPageBreak/>
        <w:t>制备技术；生物质组分转化技术；生物质功能性化学品开发；生物质酶催化机制分析；生物质组分生物调控技术。</w:t>
      </w:r>
    </w:p>
    <w:p w:rsidR="005B44AA" w:rsidRDefault="0032695B">
      <w:pPr>
        <w:pStyle w:val="2"/>
      </w:pPr>
      <w:r>
        <w:rPr>
          <w:rFonts w:hint="eastAsia"/>
        </w:rPr>
        <w:t>3.</w:t>
      </w:r>
      <w:r>
        <w:t xml:space="preserve"> </w:t>
      </w:r>
      <w:r>
        <w:rPr>
          <w:rFonts w:hint="eastAsia"/>
        </w:rPr>
        <w:t>皮革化学与工程（方向</w:t>
      </w:r>
      <w:r>
        <w:t>3</w:t>
      </w:r>
      <w:r>
        <w:rPr>
          <w:rFonts w:hint="eastAsia"/>
        </w:rPr>
        <w:t>）</w:t>
      </w:r>
    </w:p>
    <w:p w:rsidR="005B44AA" w:rsidRDefault="0032695B">
      <w:r>
        <w:rPr>
          <w:rFonts w:hint="eastAsia"/>
        </w:rPr>
        <w:t>研究制革生产的基础理论及新型皮革产品开发；制革生产过程中的生态设计及绿色生产技术；制革废弃物的安全处置及资源化利用技术；天然动物蛋白质的结构、性能、反应特性等基础理论；新型胶原</w:t>
      </w:r>
      <w:proofErr w:type="gramStart"/>
      <w:r>
        <w:rPr>
          <w:rFonts w:hint="eastAsia"/>
        </w:rPr>
        <w:t>基材料</w:t>
      </w:r>
      <w:proofErr w:type="gramEnd"/>
      <w:r>
        <w:rPr>
          <w:rFonts w:hint="eastAsia"/>
        </w:rPr>
        <w:t>的研究与开发；新型制革化工材料的设计、开发及绿色生产技术；合成革加工的基本理论及绿色生产技术。</w:t>
      </w:r>
    </w:p>
    <w:p w:rsidR="005B44AA" w:rsidRDefault="0032695B">
      <w:pPr>
        <w:pStyle w:val="2"/>
      </w:pPr>
      <w:r>
        <w:rPr>
          <w:rFonts w:hint="eastAsia"/>
        </w:rPr>
        <w:t>4.</w:t>
      </w:r>
      <w:r>
        <w:t xml:space="preserve"> </w:t>
      </w:r>
      <w:r>
        <w:rPr>
          <w:rFonts w:hint="eastAsia"/>
        </w:rPr>
        <w:t>印刷与包装工程（方向</w:t>
      </w:r>
      <w:r>
        <w:t>4</w:t>
      </w:r>
      <w:r>
        <w:rPr>
          <w:rFonts w:hint="eastAsia"/>
        </w:rPr>
        <w:t>）</w:t>
      </w:r>
    </w:p>
    <w:p w:rsidR="005B44AA" w:rsidRDefault="0032695B">
      <w:r>
        <w:rPr>
          <w:rFonts w:hint="eastAsia"/>
        </w:rPr>
        <w:t>研究印刷包装新材料的制备、分析和应用技术，绿色印刷和智能包装新工艺；研究印刷电子相关材料和技术；研究印刷图像的数字处理技术及</w:t>
      </w:r>
      <w:r>
        <w:rPr>
          <w:rFonts w:hint="eastAsia"/>
        </w:rPr>
        <w:t>3D</w:t>
      </w:r>
      <w:r>
        <w:rPr>
          <w:rFonts w:hint="eastAsia"/>
        </w:rPr>
        <w:t>打印技术；研究图像传播中色彩管理技术、印刷复制配色技术和颜色复制质量评价等；研究印刷包装设备检测与控制、印刷品质量机器视觉检测关键技术。</w:t>
      </w:r>
    </w:p>
    <w:p w:rsidR="005B44AA" w:rsidRDefault="0032695B">
      <w:pPr>
        <w:pStyle w:val="1"/>
      </w:pPr>
      <w:r>
        <w:rPr>
          <w:rFonts w:hint="eastAsia"/>
        </w:rPr>
        <w:t>五、学习方式与学习年限</w:t>
      </w:r>
    </w:p>
    <w:p w:rsidR="005B44AA" w:rsidRDefault="0032695B">
      <w:r>
        <w:t>全日制专业学位研究生和非全日制专业学位研究生的</w:t>
      </w:r>
      <w:r>
        <w:rPr>
          <w:rFonts w:hint="eastAsia"/>
        </w:rPr>
        <w:t>学制</w:t>
      </w:r>
      <w:r>
        <w:t>均为</w:t>
      </w:r>
      <w:r>
        <w:t>3</w:t>
      </w:r>
      <w:r>
        <w:t>年，研究生修业年限（含休学、保留学籍、延期毕业）最长不得超过</w:t>
      </w:r>
      <w:r>
        <w:t>5</w:t>
      </w:r>
      <w:r>
        <w:t>年。</w:t>
      </w:r>
    </w:p>
    <w:p w:rsidR="005B44AA" w:rsidRDefault="0032695B">
      <w:pPr>
        <w:pStyle w:val="1"/>
      </w:pPr>
      <w:r>
        <w:rPr>
          <w:rFonts w:hint="eastAsia"/>
        </w:rPr>
        <w:t>六、培养方式</w:t>
      </w:r>
    </w:p>
    <w:p w:rsidR="005B44AA" w:rsidRDefault="0032695B">
      <w:r>
        <w:t xml:space="preserve">1. </w:t>
      </w:r>
      <w:r>
        <w:rPr>
          <w:rFonts w:hint="eastAsia"/>
        </w:rPr>
        <w:t>专业学位硕士研究生的培养采用导师负责制，主要采取课程学习、学术活动、专业实践、科研训练和论文研究工作相结合的方式，系统掌握</w:t>
      </w:r>
      <w:r>
        <w:rPr>
          <w:rFonts w:hint="eastAsia"/>
        </w:rPr>
        <w:lastRenderedPageBreak/>
        <w:t>本学科的理论知识，培养学生分析问题和解决问题的能力。根据要求，具有</w:t>
      </w:r>
      <w:r>
        <w:rPr>
          <w:rFonts w:hint="eastAsia"/>
        </w:rPr>
        <w:t>2</w:t>
      </w:r>
      <w:r>
        <w:rPr>
          <w:rFonts w:hint="eastAsia"/>
        </w:rPr>
        <w:t>年及以上企业工作经历的专业实践环节时间累计不少于</w:t>
      </w:r>
      <w:r>
        <w:rPr>
          <w:rFonts w:hint="eastAsia"/>
        </w:rPr>
        <w:t>6</w:t>
      </w:r>
      <w:r>
        <w:rPr>
          <w:rFonts w:hint="eastAsia"/>
        </w:rPr>
        <w:t>个月，其他学生不少于</w:t>
      </w:r>
      <w:r>
        <w:rPr>
          <w:rFonts w:hint="eastAsia"/>
        </w:rPr>
        <w:t>1</w:t>
      </w:r>
      <w:r>
        <w:rPr>
          <w:rFonts w:hint="eastAsia"/>
        </w:rPr>
        <w:t>年。</w:t>
      </w:r>
    </w:p>
    <w:p w:rsidR="005B44AA" w:rsidRDefault="0032695B">
      <w:r>
        <w:t xml:space="preserve">2. </w:t>
      </w:r>
      <w:r>
        <w:t>注重理论与实际的结合。吸收不同学科领域的专家、学者和有丰富实践经验的专业人员，共同</w:t>
      </w:r>
      <w:r>
        <w:rPr>
          <w:rFonts w:hint="eastAsia"/>
        </w:rPr>
        <w:t>参与</w:t>
      </w:r>
      <w:r>
        <w:t>专业学位研究生的培养工作</w:t>
      </w:r>
      <w:r>
        <w:rPr>
          <w:rFonts w:hint="eastAsia"/>
        </w:rPr>
        <w:t>，</w:t>
      </w:r>
      <w:r>
        <w:t>加强对研究生分析和解决实际问题的技能和职业道德精神的培养。</w:t>
      </w:r>
    </w:p>
    <w:p w:rsidR="005B44AA" w:rsidRDefault="0032695B">
      <w:r>
        <w:t xml:space="preserve">3. </w:t>
      </w:r>
      <w:r>
        <w:t>实行双导师指导制，其中校内导师为研究生培养的第一责任导师</w:t>
      </w:r>
      <w:r>
        <w:rPr>
          <w:rFonts w:hint="eastAsia"/>
        </w:rPr>
        <w:t>，</w:t>
      </w:r>
      <w:r>
        <w:t>校外导师由学校聘请企业（行业）具有丰富工程实践经验的高级技术专家或管理人员组成，校外导师参与实习实践、课程学习与学位论文等培养环节的指导工作。</w:t>
      </w:r>
    </w:p>
    <w:p w:rsidR="005B44AA" w:rsidRDefault="0032695B">
      <w:r>
        <w:t>4</w:t>
      </w:r>
      <w:r>
        <w:rPr>
          <w:rFonts w:hint="eastAsia"/>
        </w:rPr>
        <w:t>.</w:t>
      </w:r>
      <w:r>
        <w:t xml:space="preserve"> </w:t>
      </w:r>
      <w:r>
        <w:t>各导师可根据研究生的专业实践和学位论文工作需要，自行组建导师组对研究生进行集体培养，或与国内外同行学者或单位合作开展联合培养。</w:t>
      </w:r>
    </w:p>
    <w:p w:rsidR="005B44AA" w:rsidRDefault="0032695B">
      <w:pPr>
        <w:pStyle w:val="1"/>
      </w:pPr>
      <w:r>
        <w:rPr>
          <w:rFonts w:hint="eastAsia"/>
        </w:rPr>
        <w:t>七、学分要求与课程设置</w:t>
      </w:r>
    </w:p>
    <w:p w:rsidR="005B44AA" w:rsidRDefault="0032695B">
      <w:pPr>
        <w:pStyle w:val="2"/>
      </w:pPr>
      <w:r>
        <w:rPr>
          <w:rFonts w:hint="eastAsia"/>
        </w:rPr>
        <w:t>1.</w:t>
      </w:r>
      <w:r>
        <w:t xml:space="preserve"> </w:t>
      </w:r>
      <w:r>
        <w:rPr>
          <w:rFonts w:hint="eastAsia"/>
        </w:rPr>
        <w:t>学分要求</w:t>
      </w:r>
    </w:p>
    <w:p w:rsidR="005B44AA" w:rsidRDefault="0032695B">
      <w:r>
        <w:rPr>
          <w:rFonts w:hint="eastAsia"/>
        </w:rPr>
        <w:t>总学分不低于</w:t>
      </w:r>
      <w:r>
        <w:rPr>
          <w:rFonts w:hint="eastAsia"/>
        </w:rPr>
        <w:t>34</w:t>
      </w:r>
      <w:r>
        <w:rPr>
          <w:rFonts w:hint="eastAsia"/>
        </w:rPr>
        <w:t>学分，其中课程学分不低于</w:t>
      </w:r>
      <w:r>
        <w:t>2</w:t>
      </w:r>
      <w:r>
        <w:rPr>
          <w:rFonts w:hint="eastAsia"/>
        </w:rPr>
        <w:t>6</w:t>
      </w:r>
      <w:r>
        <w:rPr>
          <w:rFonts w:hint="eastAsia"/>
        </w:rPr>
        <w:t>学分，必修环节学分</w:t>
      </w:r>
      <w:r>
        <w:rPr>
          <w:rFonts w:hint="eastAsia"/>
        </w:rPr>
        <w:t>8</w:t>
      </w:r>
      <w:r>
        <w:rPr>
          <w:rFonts w:hint="eastAsia"/>
        </w:rPr>
        <w:t>学分。</w:t>
      </w:r>
    </w:p>
    <w:p w:rsidR="005B44AA" w:rsidRDefault="0032695B">
      <w:pPr>
        <w:pStyle w:val="2"/>
      </w:pPr>
      <w:r>
        <w:rPr>
          <w:rFonts w:hint="eastAsia"/>
        </w:rPr>
        <w:t>2.</w:t>
      </w:r>
      <w:r>
        <w:t xml:space="preserve"> </w:t>
      </w:r>
      <w:r>
        <w:rPr>
          <w:rFonts w:hint="eastAsia"/>
        </w:rPr>
        <w:t>课程设置</w:t>
      </w:r>
    </w:p>
    <w:p w:rsidR="005B44AA" w:rsidRDefault="0032695B">
      <w:r>
        <w:rPr>
          <w:rFonts w:hint="eastAsia"/>
        </w:rPr>
        <w:t>专业学位硕士</w:t>
      </w:r>
      <w:r>
        <w:t>研究生课程</w:t>
      </w:r>
      <w:r>
        <w:rPr>
          <w:rFonts w:hint="eastAsia"/>
        </w:rPr>
        <w:t>体系由</w:t>
      </w:r>
      <w:r>
        <w:t>公共必修课、专业必修课</w:t>
      </w:r>
      <w:r>
        <w:rPr>
          <w:rFonts w:hint="eastAsia"/>
        </w:rPr>
        <w:t>、专业选修课等构成，</w:t>
      </w:r>
      <w:r>
        <w:t>实行学分制。</w:t>
      </w:r>
      <w:bookmarkStart w:id="1" w:name="_Hlk133482657"/>
      <w:r>
        <w:t>课程考核采用百分制，公共必修课程和专业必修课程</w:t>
      </w:r>
      <w:r>
        <w:t>70</w:t>
      </w:r>
      <w:r>
        <w:t>分合格，专业选修课程</w:t>
      </w:r>
      <w:r>
        <w:t>60</w:t>
      </w:r>
      <w:r>
        <w:t>分合格。</w:t>
      </w:r>
      <w:bookmarkStart w:id="2" w:name="_Hlk133482684"/>
      <w:bookmarkEnd w:id="1"/>
      <w:r>
        <w:t>达到合格要求的可获得相应的</w:t>
      </w:r>
      <w:r>
        <w:lastRenderedPageBreak/>
        <w:t>学分。</w:t>
      </w:r>
      <w:bookmarkEnd w:id="2"/>
    </w:p>
    <w:p w:rsidR="005B44AA" w:rsidRDefault="0032695B">
      <w:pPr>
        <w:pStyle w:val="3"/>
      </w:pPr>
      <w:r>
        <w:t>（</w:t>
      </w:r>
      <w:r>
        <w:t>1</w:t>
      </w:r>
      <w:r>
        <w:t>）公共必修课</w:t>
      </w:r>
      <w:r>
        <w:rPr>
          <w:rFonts w:hint="eastAsia"/>
        </w:rPr>
        <w:t>（</w:t>
      </w:r>
      <w:r>
        <w:rPr>
          <w:rFonts w:hint="eastAsia"/>
        </w:rPr>
        <w:t>9</w:t>
      </w:r>
      <w:r>
        <w:rPr>
          <w:rFonts w:hint="eastAsia"/>
        </w:rPr>
        <w:t>学分）</w:t>
      </w:r>
    </w:p>
    <w:p w:rsidR="005B44AA" w:rsidRDefault="0032695B">
      <w:pPr>
        <w:pStyle w:val="a3"/>
        <w:ind w:firstLine="560"/>
      </w:pPr>
      <w:r>
        <w:rPr>
          <w:rFonts w:hint="eastAsia"/>
        </w:rPr>
        <w:t>公共必修课程包括新时代中国特色社会主义理论与实践、自然辩证法、第一外国语、体美劳综合素养概论、工程伦理。其中，入学前三年内通过大学生英语六级或两年内的</w:t>
      </w:r>
      <w:proofErr w:type="gramStart"/>
      <w:r>
        <w:rPr>
          <w:rFonts w:hint="eastAsia"/>
        </w:rPr>
        <w:t>雅思成绩</w:t>
      </w:r>
      <w:proofErr w:type="gramEnd"/>
      <w:r>
        <w:rPr>
          <w:rFonts w:hint="eastAsia"/>
        </w:rPr>
        <w:t>6.0</w:t>
      </w:r>
      <w:r>
        <w:rPr>
          <w:rFonts w:hint="eastAsia"/>
        </w:rPr>
        <w:t>或托福</w:t>
      </w:r>
      <w:r>
        <w:rPr>
          <w:rFonts w:hint="eastAsia"/>
        </w:rPr>
        <w:t>75</w:t>
      </w:r>
      <w:r>
        <w:rPr>
          <w:rFonts w:hint="eastAsia"/>
        </w:rPr>
        <w:t>分以上的可申请免修第一外国语，成绩按</w:t>
      </w:r>
      <w:r>
        <w:rPr>
          <w:rFonts w:hint="eastAsia"/>
        </w:rPr>
        <w:t>75</w:t>
      </w:r>
      <w:r>
        <w:rPr>
          <w:rFonts w:hint="eastAsia"/>
        </w:rPr>
        <w:t>分计。</w:t>
      </w:r>
    </w:p>
    <w:p w:rsidR="005B44AA" w:rsidRDefault="0032695B">
      <w:pPr>
        <w:pStyle w:val="3"/>
      </w:pPr>
      <w:r>
        <w:t>（</w:t>
      </w:r>
      <w:r>
        <w:t>2</w:t>
      </w:r>
      <w:r>
        <w:t>）专业必修课（</w:t>
      </w:r>
      <w:r>
        <w:t>1</w:t>
      </w:r>
      <w:r>
        <w:rPr>
          <w:rFonts w:hint="eastAsia"/>
        </w:rPr>
        <w:t>1</w:t>
      </w:r>
      <w:r>
        <w:rPr>
          <w:rFonts w:hint="eastAsia"/>
        </w:rPr>
        <w:t>学分</w:t>
      </w:r>
      <w:r>
        <w:t>）</w:t>
      </w:r>
    </w:p>
    <w:p w:rsidR="005B44AA" w:rsidRDefault="0032695B">
      <w:pPr>
        <w:pStyle w:val="a3"/>
        <w:ind w:firstLine="560"/>
        <w:rPr>
          <w:rFonts w:ascii="宋体" w:hAnsi="宋体"/>
        </w:rPr>
      </w:pPr>
      <w:r>
        <w:rPr>
          <w:rFonts w:hint="eastAsia"/>
        </w:rPr>
        <w:t>专业必修课程是供本专业研究生学习的基础类课程。</w:t>
      </w:r>
      <w:r>
        <w:rPr>
          <w:rFonts w:ascii="宋体" w:hAnsi="宋体" w:hint="eastAsia"/>
        </w:rPr>
        <w:t>生物基功能材料和生物质资源与材料</w:t>
      </w:r>
      <w:r>
        <w:rPr>
          <w:rFonts w:hint="eastAsia"/>
        </w:rPr>
        <w:t>研究方向专业必修课包括</w:t>
      </w:r>
      <w:r>
        <w:rPr>
          <w:rFonts w:ascii="宋体" w:hAnsi="宋体" w:cs="宋体" w:hint="eastAsia"/>
          <w:kern w:val="0"/>
        </w:rPr>
        <w:t>论文写作与学术道德规范、学科前沿专题课程、材料与化工现代研究方法、生物质材料及产品工程、植物纤维化学综合分析、</w:t>
      </w:r>
      <w:r>
        <w:rPr>
          <w:rFonts w:ascii="宋体" w:hAnsi="宋体" w:hint="eastAsia"/>
        </w:rPr>
        <w:t>生物质化工与生物质材料。皮革化学与工程研究方向</w:t>
      </w:r>
      <w:r>
        <w:rPr>
          <w:rFonts w:hint="eastAsia"/>
        </w:rPr>
        <w:t>专业必修课包括论文写作与学术道德规范、学科前沿专题课程、现代分析方法与技术、绿色制革技术、聚合物反应原理、高等有机化学。</w:t>
      </w:r>
      <w:r>
        <w:rPr>
          <w:rFonts w:ascii="宋体" w:hAnsi="宋体" w:hint="eastAsia"/>
        </w:rPr>
        <w:t>印刷与包装工程研究方向</w:t>
      </w:r>
      <w:r>
        <w:rPr>
          <w:rFonts w:hint="eastAsia"/>
        </w:rPr>
        <w:t>专业必修课包括学术道德规范与科技论文写作、学科前沿专题课程、大型仪器分析原理</w:t>
      </w:r>
      <w:r>
        <w:rPr>
          <w:rFonts w:ascii="宋体" w:hAnsi="宋体" w:cs="宋体" w:hint="eastAsia"/>
          <w:kern w:val="0"/>
        </w:rPr>
        <w:t>、</w:t>
      </w:r>
      <w:r>
        <w:rPr>
          <w:rFonts w:hint="eastAsia"/>
        </w:rPr>
        <w:t>高等印刷材料科学与技术</w:t>
      </w:r>
      <w:r>
        <w:rPr>
          <w:rFonts w:ascii="宋体" w:hAnsi="宋体" w:cs="宋体" w:hint="eastAsia"/>
          <w:kern w:val="0"/>
        </w:rPr>
        <w:t>、</w:t>
      </w:r>
      <w:r>
        <w:rPr>
          <w:rFonts w:hint="eastAsia"/>
        </w:rPr>
        <w:t>现代印刷与包装技术与装备、现代包装印刷管理。</w:t>
      </w:r>
    </w:p>
    <w:p w:rsidR="005B44AA" w:rsidRDefault="0032695B">
      <w:pPr>
        <w:pStyle w:val="3"/>
      </w:pPr>
      <w:r>
        <w:t>（</w:t>
      </w:r>
      <w:r>
        <w:t>3</w:t>
      </w:r>
      <w:r>
        <w:t>）专业选修课</w:t>
      </w:r>
      <w:r>
        <w:rPr>
          <w:rFonts w:hint="eastAsia"/>
        </w:rPr>
        <w:t>（不低于</w:t>
      </w:r>
      <w:r>
        <w:rPr>
          <w:rFonts w:hint="eastAsia"/>
        </w:rPr>
        <w:t>6</w:t>
      </w:r>
      <w:r>
        <w:rPr>
          <w:rFonts w:hint="eastAsia"/>
        </w:rPr>
        <w:t>学分）</w:t>
      </w:r>
    </w:p>
    <w:p w:rsidR="005B44AA" w:rsidRDefault="0032695B">
      <w:pPr>
        <w:pStyle w:val="a3"/>
        <w:ind w:firstLine="560"/>
      </w:pPr>
      <w:r>
        <w:t>专业选修课程是供研究生进一步拓宽专业基础理论知识，扩大知识面所设置的理论性及部分实践类课程。</w:t>
      </w:r>
    </w:p>
    <w:p w:rsidR="005B44AA" w:rsidRDefault="0032695B">
      <w:pPr>
        <w:ind w:firstLine="562"/>
        <w:rPr>
          <w:b/>
          <w:bCs/>
        </w:rPr>
      </w:pPr>
      <w:r>
        <w:rPr>
          <w:rFonts w:hint="eastAsia"/>
          <w:b/>
          <w:bCs/>
        </w:rPr>
        <w:t>①</w:t>
      </w:r>
      <w:r>
        <w:rPr>
          <w:rFonts w:hint="eastAsia"/>
          <w:b/>
          <w:bCs/>
        </w:rPr>
        <w:t xml:space="preserve"> </w:t>
      </w:r>
      <w:r>
        <w:rPr>
          <w:rFonts w:hint="eastAsia"/>
          <w:b/>
          <w:bCs/>
        </w:rPr>
        <w:t>生物基功能材料（方向</w:t>
      </w:r>
      <w:r>
        <w:rPr>
          <w:rFonts w:hint="eastAsia"/>
          <w:b/>
          <w:bCs/>
        </w:rPr>
        <w:t>1</w:t>
      </w:r>
      <w:r>
        <w:rPr>
          <w:rFonts w:hint="eastAsia"/>
          <w:b/>
          <w:bCs/>
        </w:rPr>
        <w:t>）和生物质资源与材料（方向</w:t>
      </w:r>
      <w:r>
        <w:rPr>
          <w:rFonts w:hint="eastAsia"/>
          <w:b/>
          <w:bCs/>
        </w:rPr>
        <w:t>2</w:t>
      </w:r>
      <w:r>
        <w:rPr>
          <w:rFonts w:hint="eastAsia"/>
          <w:b/>
          <w:bCs/>
        </w:rPr>
        <w:t>）</w:t>
      </w:r>
    </w:p>
    <w:p w:rsidR="005B44AA" w:rsidRDefault="0032695B">
      <w:pPr>
        <w:pStyle w:val="a3"/>
        <w:ind w:firstLine="560"/>
      </w:pPr>
      <w:r>
        <w:rPr>
          <w:rFonts w:hint="eastAsia"/>
        </w:rPr>
        <w:t>方向</w:t>
      </w:r>
      <w:r>
        <w:rPr>
          <w:rFonts w:hint="eastAsia"/>
        </w:rPr>
        <w:t>1</w:t>
      </w:r>
      <w:r>
        <w:rPr>
          <w:rFonts w:hint="eastAsia"/>
        </w:rPr>
        <w:t>和方向</w:t>
      </w:r>
      <w:r>
        <w:rPr>
          <w:rFonts w:hint="eastAsia"/>
        </w:rPr>
        <w:t>2</w:t>
      </w:r>
      <w:r>
        <w:rPr>
          <w:rFonts w:hint="eastAsia"/>
        </w:rPr>
        <w:t>的专业选修课包括专业英语、</w:t>
      </w:r>
      <w:r>
        <w:t>制浆造纸厂化验室化验检验方法</w:t>
      </w:r>
      <w:r>
        <w:rPr>
          <w:rFonts w:hint="eastAsia"/>
        </w:rPr>
        <w:t>、现代仪器分析测试技术、</w:t>
      </w:r>
      <w:r>
        <w:t>生物质资源与能源化利用技术</w:t>
      </w:r>
      <w:r>
        <w:rPr>
          <w:rFonts w:hint="eastAsia"/>
        </w:rPr>
        <w:t>、制浆</w:t>
      </w:r>
      <w:r>
        <w:rPr>
          <w:rFonts w:hint="eastAsia"/>
        </w:rPr>
        <w:lastRenderedPageBreak/>
        <w:t>化学与工程、</w:t>
      </w:r>
      <w:r>
        <w:t>生物酶在制浆造纸行业的应用</w:t>
      </w:r>
      <w:r>
        <w:rPr>
          <w:rFonts w:hint="eastAsia"/>
        </w:rPr>
        <w:t>、速生材纤维综合利用、再生纤维的回收与高效利用、</w:t>
      </w:r>
      <w:proofErr w:type="gramStart"/>
      <w:r>
        <w:rPr>
          <w:rFonts w:hint="eastAsia"/>
        </w:rPr>
        <w:t>造纸湿部化学</w:t>
      </w:r>
      <w:proofErr w:type="gramEnd"/>
      <w:r>
        <w:rPr>
          <w:rFonts w:hint="eastAsia"/>
        </w:rPr>
        <w:t>原理及应用、造纸用填料及色料化学、</w:t>
      </w:r>
      <w:proofErr w:type="gramStart"/>
      <w:r>
        <w:rPr>
          <w:rFonts w:hint="eastAsia"/>
        </w:rPr>
        <w:t>纸加工</w:t>
      </w:r>
      <w:proofErr w:type="gramEnd"/>
      <w:r>
        <w:rPr>
          <w:rFonts w:hint="eastAsia"/>
        </w:rPr>
        <w:t>技术、工业水处理剂概论。</w:t>
      </w:r>
    </w:p>
    <w:p w:rsidR="005B44AA" w:rsidRDefault="0032695B">
      <w:pPr>
        <w:ind w:firstLine="562"/>
        <w:rPr>
          <w:b/>
          <w:bCs/>
        </w:rPr>
      </w:pPr>
      <w:r>
        <w:rPr>
          <w:rFonts w:hint="eastAsia"/>
          <w:b/>
          <w:bCs/>
        </w:rPr>
        <w:t>②</w:t>
      </w:r>
      <w:r>
        <w:rPr>
          <w:rFonts w:hint="eastAsia"/>
          <w:b/>
          <w:bCs/>
        </w:rPr>
        <w:t xml:space="preserve"> </w:t>
      </w:r>
      <w:r>
        <w:rPr>
          <w:rFonts w:hint="eastAsia"/>
          <w:b/>
          <w:bCs/>
        </w:rPr>
        <w:t>皮革化学与工程（方向</w:t>
      </w:r>
      <w:r>
        <w:rPr>
          <w:rFonts w:hint="eastAsia"/>
          <w:b/>
          <w:bCs/>
        </w:rPr>
        <w:t>3</w:t>
      </w:r>
      <w:r>
        <w:rPr>
          <w:rFonts w:hint="eastAsia"/>
          <w:b/>
          <w:bCs/>
        </w:rPr>
        <w:t>）</w:t>
      </w:r>
    </w:p>
    <w:p w:rsidR="005B44AA" w:rsidRDefault="0032695B">
      <w:pPr>
        <w:pStyle w:val="a3"/>
        <w:ind w:firstLine="560"/>
      </w:pPr>
      <w:r>
        <w:rPr>
          <w:rFonts w:hint="eastAsia"/>
        </w:rPr>
        <w:t>方向</w:t>
      </w:r>
      <w:r>
        <w:rPr>
          <w:rFonts w:hint="eastAsia"/>
        </w:rPr>
        <w:t>3</w:t>
      </w:r>
      <w:r>
        <w:rPr>
          <w:rFonts w:hint="eastAsia"/>
        </w:rPr>
        <w:t>的专业选修课包括专业英语、皮革化工材料结构与性能、聚氨酯树脂及其应用、生物质材料、蛋白质化学、网络文献检索、化学实验设计优化方法、科技论文绘图、轻工化学品的制备及实践、生物无机化学、蛋白质分离分析实验、制革工程训练、高分子材料加工原理、涂料化学、水性大分子材料。</w:t>
      </w:r>
    </w:p>
    <w:p w:rsidR="005B44AA" w:rsidRDefault="0032695B">
      <w:pPr>
        <w:ind w:firstLine="562"/>
        <w:rPr>
          <w:b/>
          <w:bCs/>
        </w:rPr>
      </w:pPr>
      <w:r>
        <w:rPr>
          <w:rFonts w:hint="eastAsia"/>
          <w:b/>
          <w:bCs/>
        </w:rPr>
        <w:t>③</w:t>
      </w:r>
      <w:r>
        <w:rPr>
          <w:rFonts w:hint="eastAsia"/>
          <w:b/>
          <w:bCs/>
        </w:rPr>
        <w:t xml:space="preserve"> </w:t>
      </w:r>
      <w:r>
        <w:rPr>
          <w:rFonts w:hint="eastAsia"/>
          <w:b/>
          <w:bCs/>
        </w:rPr>
        <w:t>印刷与包装工程（方向</w:t>
      </w:r>
      <w:r>
        <w:rPr>
          <w:rFonts w:hint="eastAsia"/>
          <w:b/>
          <w:bCs/>
        </w:rPr>
        <w:t>4</w:t>
      </w:r>
      <w:r>
        <w:rPr>
          <w:rFonts w:hint="eastAsia"/>
          <w:b/>
          <w:bCs/>
        </w:rPr>
        <w:t>）</w:t>
      </w:r>
    </w:p>
    <w:p w:rsidR="005B44AA" w:rsidRDefault="0032695B">
      <w:pPr>
        <w:pStyle w:val="a3"/>
        <w:ind w:firstLine="560"/>
      </w:pPr>
      <w:r>
        <w:rPr>
          <w:rFonts w:hint="eastAsia"/>
        </w:rPr>
        <w:t>方向</w:t>
      </w:r>
      <w:r>
        <w:rPr>
          <w:rFonts w:hint="eastAsia"/>
        </w:rPr>
        <w:t>4</w:t>
      </w:r>
      <w:r>
        <w:rPr>
          <w:rFonts w:hint="eastAsia"/>
        </w:rPr>
        <w:t>专业选修课包括专业英语、数值统计分析与计算方法、颜色科学与技术、图像处理与机器视觉、数字印刷技术、印刷质量检控技术、特种</w:t>
      </w:r>
      <w:proofErr w:type="gramStart"/>
      <w:r>
        <w:rPr>
          <w:rFonts w:hint="eastAsia"/>
        </w:rPr>
        <w:t>纸结构</w:t>
      </w:r>
      <w:proofErr w:type="gramEnd"/>
      <w:r>
        <w:rPr>
          <w:rFonts w:hint="eastAsia"/>
        </w:rPr>
        <w:t>与性能、第二外语（日或德）。</w:t>
      </w:r>
    </w:p>
    <w:p w:rsidR="005B44AA" w:rsidRDefault="0032695B">
      <w:pPr>
        <w:pStyle w:val="3"/>
      </w:pPr>
      <w:r>
        <w:rPr>
          <w:rFonts w:hint="eastAsia"/>
        </w:rPr>
        <w:t>（</w:t>
      </w:r>
      <w:r>
        <w:rPr>
          <w:rFonts w:hint="eastAsia"/>
        </w:rPr>
        <w:t>4</w:t>
      </w:r>
      <w:r>
        <w:rPr>
          <w:rFonts w:hint="eastAsia"/>
        </w:rPr>
        <w:t>）补修课程（不计学分）</w:t>
      </w:r>
    </w:p>
    <w:p w:rsidR="005B44AA" w:rsidRDefault="0032695B">
      <w:pPr>
        <w:pStyle w:val="a3"/>
        <w:ind w:firstLine="560"/>
      </w:pPr>
      <w:r>
        <w:rPr>
          <w:rFonts w:hint="eastAsia"/>
        </w:rPr>
        <w:t>对于跨学科考入以及由于其他原因入学以后需进行适当补课的研究生，由培养单位和导师认定后，都需补修录取专业有关的大学本科主干课程。</w:t>
      </w:r>
    </w:p>
    <w:p w:rsidR="005B44AA" w:rsidRDefault="0032695B">
      <w:pPr>
        <w:pStyle w:val="2"/>
      </w:pPr>
      <w:r>
        <w:t>3</w:t>
      </w:r>
      <w:r>
        <w:rPr>
          <w:rFonts w:hint="eastAsia"/>
        </w:rPr>
        <w:t>.</w:t>
      </w:r>
      <w:r>
        <w:t xml:space="preserve"> </w:t>
      </w:r>
      <w:r>
        <w:t>必修环节设置</w:t>
      </w:r>
    </w:p>
    <w:p w:rsidR="005B44AA" w:rsidRDefault="0032695B">
      <w:pPr>
        <w:rPr>
          <w:b/>
        </w:rPr>
      </w:pPr>
      <w:r>
        <w:t>专业学位</w:t>
      </w:r>
      <w:r>
        <w:rPr>
          <w:rFonts w:hint="eastAsia"/>
        </w:rPr>
        <w:t>硕士</w:t>
      </w:r>
      <w:r>
        <w:t>研究生必修环节包括文献阅读与开题报告</w:t>
      </w:r>
      <w:r>
        <w:rPr>
          <w:rFonts w:hint="eastAsia"/>
        </w:rPr>
        <w:t>、</w:t>
      </w:r>
      <w:r>
        <w:t>中期考核</w:t>
      </w:r>
      <w:r>
        <w:rPr>
          <w:rFonts w:hint="eastAsia"/>
        </w:rPr>
        <w:t>（</w:t>
      </w:r>
      <w:r>
        <w:rPr>
          <w:rFonts w:hint="eastAsia"/>
        </w:rPr>
        <w:t>1</w:t>
      </w:r>
      <w:r>
        <w:rPr>
          <w:rFonts w:hint="eastAsia"/>
        </w:rPr>
        <w:t>学分）</w:t>
      </w:r>
      <w:r>
        <w:t>、专业实践</w:t>
      </w:r>
      <w:r>
        <w:rPr>
          <w:rFonts w:hint="eastAsia"/>
        </w:rPr>
        <w:t>（</w:t>
      </w:r>
      <w:r>
        <w:rPr>
          <w:rFonts w:hint="eastAsia"/>
        </w:rPr>
        <w:t>6</w:t>
      </w:r>
      <w:r>
        <w:rPr>
          <w:rFonts w:hint="eastAsia"/>
        </w:rPr>
        <w:t>学分）</w:t>
      </w:r>
      <w:r>
        <w:t>、学术活动</w:t>
      </w:r>
      <w:r>
        <w:rPr>
          <w:rFonts w:hint="eastAsia"/>
        </w:rPr>
        <w:t>（</w:t>
      </w:r>
      <w:r>
        <w:rPr>
          <w:rFonts w:hint="eastAsia"/>
        </w:rPr>
        <w:t>1</w:t>
      </w:r>
      <w:r>
        <w:rPr>
          <w:rFonts w:hint="eastAsia"/>
        </w:rPr>
        <w:t>学分）</w:t>
      </w:r>
      <w:r>
        <w:t>等。</w:t>
      </w:r>
    </w:p>
    <w:p w:rsidR="005B44AA" w:rsidRDefault="0032695B">
      <w:pPr>
        <w:pStyle w:val="3"/>
      </w:pPr>
      <w:r>
        <w:rPr>
          <w:rFonts w:hint="eastAsia"/>
        </w:rPr>
        <w:t>（</w:t>
      </w:r>
      <w:r>
        <w:rPr>
          <w:rFonts w:hint="eastAsia"/>
        </w:rPr>
        <w:t>1</w:t>
      </w:r>
      <w:r>
        <w:rPr>
          <w:rFonts w:hint="eastAsia"/>
        </w:rPr>
        <w:t>）</w:t>
      </w:r>
      <w:r>
        <w:t>文献阅读与开题报告</w:t>
      </w:r>
    </w:p>
    <w:p w:rsidR="005B44AA" w:rsidRDefault="0032695B">
      <w:r>
        <w:t>入学后，研究生要在导师的指导下进行选题，选题应来源于应用课题</w:t>
      </w:r>
      <w:r>
        <w:lastRenderedPageBreak/>
        <w:t>或现实问题，须要有明确的职业背景和应用价值，要能体现对研究生综合运用科学理论、方法和技术解决实际问题的能力的训练和培养。之后要结合本人研究方向，积极开展文献调研，研读一定数量的中外文专业文献资料，熟悉掌握主攻方向的最新成果和发展动态并做出分析与评价，并撰写出不少于</w:t>
      </w:r>
      <w:r>
        <w:t>6000</w:t>
      </w:r>
      <w:r>
        <w:t>字的文献综述总结报告，参考文献不少于</w:t>
      </w:r>
      <w:r>
        <w:t>50</w:t>
      </w:r>
      <w:r>
        <w:t>篇，其中外文文献不少于</w:t>
      </w:r>
      <w:r>
        <w:t>30</w:t>
      </w:r>
      <w:r>
        <w:t>篇。</w:t>
      </w:r>
    </w:p>
    <w:p w:rsidR="005B44AA" w:rsidRDefault="0032695B">
      <w:r>
        <w:t>结合文献调研和工程研究，研究生要在导师的指导下，在第三学期第</w:t>
      </w:r>
      <w:r>
        <w:t>4-8</w:t>
      </w:r>
      <w:r>
        <w:t>周内确定学位论文题目并进行论文开题报告论证。</w:t>
      </w:r>
    </w:p>
    <w:p w:rsidR="005B44AA" w:rsidRDefault="0032695B">
      <w:r>
        <w:t>论学位论文开题应在相应的课题组和学科范围内进行（开题小组由</w:t>
      </w:r>
      <w:r>
        <w:t>3</w:t>
      </w:r>
      <w:r>
        <w:t>～</w:t>
      </w:r>
      <w:r>
        <w:t xml:space="preserve">5 </w:t>
      </w:r>
      <w:r>
        <w:t>位专家组成），采取答辩方式进行。研究生需在听取专家意见的基础上，对开题报告进行修订和补充，最终确定论文研究内容等</w:t>
      </w:r>
      <w:r>
        <w:t xml:space="preserve">, </w:t>
      </w:r>
      <w:r>
        <w:t>并按要求提交开题报告。没有通过论文开题报告论证的研究生，可在一个月内按上述程序重新参加一次论文开题报告论证。如仍未通过论文开题报告论证，该研究生将不能进入下</w:t>
      </w:r>
      <w:proofErr w:type="gramStart"/>
      <w:r>
        <w:t>一培养</w:t>
      </w:r>
      <w:proofErr w:type="gramEnd"/>
      <w:r>
        <w:t>环节。</w:t>
      </w:r>
    </w:p>
    <w:p w:rsidR="005B44AA" w:rsidRDefault="0032695B">
      <w:pPr>
        <w:pStyle w:val="3"/>
      </w:pPr>
      <w:r>
        <w:rPr>
          <w:rFonts w:hint="eastAsia"/>
        </w:rPr>
        <w:t>（</w:t>
      </w:r>
      <w:r>
        <w:rPr>
          <w:rFonts w:hint="eastAsia"/>
        </w:rPr>
        <w:t>2</w:t>
      </w:r>
      <w:r>
        <w:rPr>
          <w:rFonts w:hint="eastAsia"/>
        </w:rPr>
        <w:t>）</w:t>
      </w:r>
      <w:r>
        <w:t>中期考核（</w:t>
      </w:r>
      <w:r>
        <w:t>1</w:t>
      </w:r>
      <w:r>
        <w:t>学分）</w:t>
      </w:r>
    </w:p>
    <w:p w:rsidR="005B44AA" w:rsidRDefault="0032695B">
      <w:r>
        <w:t>中期考核一般在第四学期</w:t>
      </w:r>
      <w:r>
        <w:rPr>
          <w:rFonts w:hint="eastAsia"/>
        </w:rPr>
        <w:t>第</w:t>
      </w:r>
      <w:r>
        <w:rPr>
          <w:rFonts w:hint="eastAsia"/>
        </w:rPr>
        <w:t>1</w:t>
      </w:r>
      <w:r>
        <w:t>0</w:t>
      </w:r>
      <w:r>
        <w:rPr>
          <w:rFonts w:hint="eastAsia"/>
        </w:rPr>
        <w:t>周前</w:t>
      </w:r>
      <w:r>
        <w:t>进行，由学部</w:t>
      </w:r>
      <w:bookmarkStart w:id="3" w:name="_Hlk133496049"/>
      <w:r>
        <w:t>参照《齐鲁工业大学（山东省科学院）硕士学位研究生中期考核实施办法》（齐鲁工大鲁科院</w:t>
      </w:r>
      <w:proofErr w:type="gramStart"/>
      <w:r>
        <w:t>研</w:t>
      </w:r>
      <w:proofErr w:type="gramEnd"/>
      <w:r>
        <w:t>字〔</w:t>
      </w:r>
      <w:r>
        <w:t>2022</w:t>
      </w:r>
      <w:r>
        <w:t>〕</w:t>
      </w:r>
      <w:r>
        <w:t>8</w:t>
      </w:r>
      <w:r>
        <w:t>号）</w:t>
      </w:r>
      <w:bookmarkEnd w:id="3"/>
      <w:r>
        <w:t>组织对研究生的课程学习、专业实践、文献综述、开题报告及学位论文工作研究进展情况等进行全面的考核，中期考核成绩分为优秀、合格</w:t>
      </w:r>
      <w:r>
        <w:rPr>
          <w:rFonts w:ascii="宋体" w:hAnsi="宋体" w:cs="宋体" w:hint="eastAsia"/>
        </w:rPr>
        <w:t>、亮“黄牌”、不合</w:t>
      </w:r>
      <w:r>
        <w:t>格四个等级</w:t>
      </w:r>
      <w:bookmarkStart w:id="4" w:name="_Hlk133496146"/>
      <w:r>
        <w:t>，填写中期考核表上传到研究生管理系统。</w:t>
      </w:r>
      <w:bookmarkEnd w:id="4"/>
      <w:r>
        <w:t>通过学位论文开题报告</w:t>
      </w:r>
      <w:r>
        <w:rPr>
          <w:rFonts w:hint="eastAsia"/>
        </w:rPr>
        <w:t>和中期考核</w:t>
      </w:r>
      <w:r>
        <w:t>，获得</w:t>
      </w:r>
      <w:r>
        <w:t>1</w:t>
      </w:r>
      <w:r>
        <w:t>学分</w:t>
      </w:r>
      <w:r>
        <w:rPr>
          <w:rFonts w:hint="eastAsia"/>
        </w:rPr>
        <w:t>。</w:t>
      </w:r>
      <w:r>
        <w:t>达不到培养方向考核要求的</w:t>
      </w:r>
      <w:r>
        <w:rPr>
          <w:rFonts w:hint="eastAsia"/>
        </w:rPr>
        <w:t>研究生</w:t>
      </w:r>
      <w:r>
        <w:t>，</w:t>
      </w:r>
      <w:bookmarkStart w:id="5" w:name="_Hlk133496178"/>
      <w:proofErr w:type="gramStart"/>
      <w:r>
        <w:t>依学校</w:t>
      </w:r>
      <w:proofErr w:type="gramEnd"/>
      <w:r>
        <w:t>规定</w:t>
      </w:r>
      <w:bookmarkEnd w:id="5"/>
      <w:r>
        <w:t>进行延期考核或分流。</w:t>
      </w:r>
    </w:p>
    <w:p w:rsidR="005B44AA" w:rsidRDefault="0032695B">
      <w:pPr>
        <w:pStyle w:val="3"/>
      </w:pPr>
      <w:r>
        <w:rPr>
          <w:rFonts w:hint="eastAsia"/>
        </w:rPr>
        <w:lastRenderedPageBreak/>
        <w:t>（</w:t>
      </w:r>
      <w:r>
        <w:rPr>
          <w:rFonts w:hint="eastAsia"/>
        </w:rPr>
        <w:t>3</w:t>
      </w:r>
      <w:r>
        <w:rPr>
          <w:rFonts w:hint="eastAsia"/>
        </w:rPr>
        <w:t>）</w:t>
      </w:r>
      <w:r>
        <w:t>专业实践（</w:t>
      </w:r>
      <w:r>
        <w:t>6</w:t>
      </w:r>
      <w:r>
        <w:t>学分）</w:t>
      </w:r>
    </w:p>
    <w:p w:rsidR="005B44AA" w:rsidRDefault="0032695B">
      <w:r>
        <w:t>专业实践是硕士专业学位研究生职业胜任力培养必要环节。专业实践应面向本学科专业，内容应与培养目标及培养方案一致，</w:t>
      </w:r>
      <w:r>
        <w:rPr>
          <w:rFonts w:hint="eastAsia"/>
        </w:rPr>
        <w:t>应</w:t>
      </w:r>
      <w:r>
        <w:t>与学位论文的内容相</w:t>
      </w:r>
      <w:r>
        <w:rPr>
          <w:rFonts w:hint="eastAsia"/>
        </w:rPr>
        <w:t>关</w:t>
      </w:r>
      <w:r>
        <w:t>，并与</w:t>
      </w:r>
      <w:proofErr w:type="gramStart"/>
      <w:r>
        <w:t>拟就业</w:t>
      </w:r>
      <w:proofErr w:type="gramEnd"/>
      <w:r>
        <w:t>岗位的实际需求相结合，有目的、有计划地安排。通过专业实践</w:t>
      </w:r>
      <w:r>
        <w:rPr>
          <w:rFonts w:hint="eastAsia"/>
        </w:rPr>
        <w:t>，</w:t>
      </w:r>
      <w:r>
        <w:t>基本熟悉本行业工作流程和相关职业及技术规范，提高实践创新能力，提升职业素养。具有</w:t>
      </w:r>
      <w:r>
        <w:t>2</w:t>
      </w:r>
      <w:r>
        <w:t>年及以上企业工作经历的研究生，专业实践环节时间累计不少于</w:t>
      </w:r>
      <w:r>
        <w:t>6</w:t>
      </w:r>
      <w:r>
        <w:t>个月，其他学生不少于</w:t>
      </w:r>
      <w:r>
        <w:t>1</w:t>
      </w:r>
      <w:r>
        <w:t>年。</w:t>
      </w:r>
    </w:p>
    <w:p w:rsidR="005B44AA" w:rsidRDefault="0032695B">
      <w:r>
        <w:t>专业实践按</w:t>
      </w:r>
      <w:r>
        <w:rPr>
          <w:rFonts w:hint="eastAsia"/>
        </w:rPr>
        <w:t>照“集中实践与分段实践”相结合、“校内实践和企业实践”相结合、“专业实践与学位论文工作”相结合的原则，可采用如下方式进行：</w:t>
      </w:r>
    </w:p>
    <w:p w:rsidR="005B44AA" w:rsidRDefault="0032695B">
      <w:pPr>
        <w:pStyle w:val="ae"/>
        <w:ind w:firstLine="560"/>
      </w:pPr>
      <w:r>
        <w:rPr>
          <w:rFonts w:hint="eastAsia"/>
        </w:rPr>
        <w:t>①由导师结合自身所承担的来自企业生产实际的科研课题，安排学生进行专业实践；</w:t>
      </w:r>
      <w:r>
        <w:rPr>
          <w:rFonts w:hint="eastAsia"/>
        </w:rPr>
        <w:t xml:space="preserve"> </w:t>
      </w:r>
    </w:p>
    <w:p w:rsidR="005B44AA" w:rsidRDefault="0032695B">
      <w:pPr>
        <w:pStyle w:val="ae"/>
        <w:ind w:firstLine="560"/>
      </w:pPr>
      <w:r>
        <w:rPr>
          <w:rFonts w:hint="eastAsia"/>
        </w:rPr>
        <w:t>②依托校（院）与企事业单位联合建立的实践基地，利用企事业单位的科研资源，由导师与实践基地指导教师共同负责安排相应的专业实践；</w:t>
      </w:r>
    </w:p>
    <w:p w:rsidR="005B44AA" w:rsidRDefault="0032695B">
      <w:r>
        <w:rPr>
          <w:rFonts w:ascii="宋体" w:hAnsi="宋体" w:cs="宋体" w:hint="eastAsia"/>
        </w:rPr>
        <w:t>③</w:t>
      </w:r>
      <w:r>
        <w:t>研究生结合本人的就业去向，自行联系实践单位进行专业实践。</w:t>
      </w:r>
    </w:p>
    <w:p w:rsidR="005B44AA" w:rsidRDefault="0032695B">
      <w:r>
        <w:t>研究生参加专业实践活动结束后，应按照实践计划及大纲要求撰写不少于</w:t>
      </w:r>
      <w:r>
        <w:t>5000</w:t>
      </w:r>
      <w:r>
        <w:t>字的《齐鲁工业大学（山东省科学院）专业学位硕士研究生专业实践报告书》</w:t>
      </w:r>
      <w:r>
        <w:rPr>
          <w:rFonts w:hint="eastAsia"/>
        </w:rPr>
        <w:t>及相应的支撑材料（包括但不限于论文，专利，软著，用人单位评价）</w:t>
      </w:r>
      <w:r>
        <w:t>，经学部（院）审核后上传至研究生管理系统</w:t>
      </w:r>
      <w:r>
        <w:rPr>
          <w:rFonts w:hint="eastAsia"/>
        </w:rPr>
        <w:t>并</w:t>
      </w:r>
      <w:r>
        <w:t>获得</w:t>
      </w:r>
      <w:r>
        <w:rPr>
          <w:rFonts w:hint="eastAsia"/>
        </w:rPr>
        <w:t>6</w:t>
      </w:r>
      <w:r>
        <w:t>学分。</w:t>
      </w:r>
    </w:p>
    <w:p w:rsidR="005B44AA" w:rsidRDefault="0032695B">
      <w:pPr>
        <w:pStyle w:val="3"/>
      </w:pPr>
      <w:r>
        <w:rPr>
          <w:rFonts w:hint="eastAsia"/>
        </w:rPr>
        <w:t>（</w:t>
      </w:r>
      <w:r>
        <w:rPr>
          <w:rFonts w:hint="eastAsia"/>
        </w:rPr>
        <w:t>4</w:t>
      </w:r>
      <w:r>
        <w:rPr>
          <w:rFonts w:hint="eastAsia"/>
        </w:rPr>
        <w:t>）</w:t>
      </w:r>
      <w:r>
        <w:t>学术活动</w:t>
      </w:r>
      <w:r>
        <w:rPr>
          <w:rFonts w:hint="eastAsia"/>
        </w:rPr>
        <w:t>（</w:t>
      </w:r>
      <w:r>
        <w:t>1</w:t>
      </w:r>
      <w:r>
        <w:t>学分</w:t>
      </w:r>
      <w:r>
        <w:rPr>
          <w:rFonts w:hint="eastAsia"/>
        </w:rPr>
        <w:t>）</w:t>
      </w:r>
    </w:p>
    <w:p w:rsidR="005B44AA" w:rsidRDefault="0032695B">
      <w:r>
        <w:t>研究生应积极、主动地参加校（院）内外本学科、专业或其他相关专业的学术讲座、会议、论坛、学科竞赛等各种学术活动，学术活动应贯穿研究生培养的全过程。研究生在学期间本人做专题讲座至少</w:t>
      </w:r>
      <w:r>
        <w:t>2</w:t>
      </w:r>
      <w:r>
        <w:t>次，听取学</w:t>
      </w:r>
      <w:r>
        <w:lastRenderedPageBreak/>
        <w:t>术报告至少</w:t>
      </w:r>
      <w:r>
        <w:t>10</w:t>
      </w:r>
      <w:r>
        <w:t>次。完成学术活动，获得</w:t>
      </w:r>
      <w:r>
        <w:t>1</w:t>
      </w:r>
      <w:r>
        <w:t>学分。研究生应认真填写《齐鲁工业大学（山东省科学院）硕士研究生学术活动考核汇总表》，在答辩资格审核时上传研究生管理系统。凡未达到要求的研究生，校（院）将不受理其学位论文答辩申请。</w:t>
      </w:r>
    </w:p>
    <w:p w:rsidR="005B44AA" w:rsidRDefault="0032695B">
      <w:pPr>
        <w:ind w:firstLineChars="0" w:firstLine="0"/>
        <w:jc w:val="center"/>
        <w:rPr>
          <w:b/>
          <w:bCs/>
        </w:rPr>
      </w:pPr>
      <w:r>
        <w:rPr>
          <w:rFonts w:hint="eastAsia"/>
          <w:b/>
          <w:bCs/>
        </w:rPr>
        <w:t>适用于方向</w:t>
      </w:r>
      <w:r>
        <w:rPr>
          <w:rFonts w:hint="eastAsia"/>
          <w:b/>
          <w:bCs/>
        </w:rPr>
        <w:t>1</w:t>
      </w:r>
      <w:r>
        <w:rPr>
          <w:rFonts w:hint="eastAsia"/>
          <w:b/>
          <w:bCs/>
        </w:rPr>
        <w:t>、方向</w:t>
      </w:r>
      <w:r>
        <w:rPr>
          <w:rFonts w:hint="eastAsia"/>
          <w:b/>
          <w:bCs/>
        </w:rPr>
        <w:t>2</w:t>
      </w:r>
      <w:r>
        <w:rPr>
          <w:rFonts w:hint="eastAsia"/>
          <w:b/>
          <w:bCs/>
        </w:rPr>
        <w:t>的</w:t>
      </w:r>
      <w:r>
        <w:rPr>
          <w:b/>
          <w:bCs/>
        </w:rPr>
        <w:t>专业学位硕士研究生</w:t>
      </w:r>
      <w:r>
        <w:rPr>
          <w:rFonts w:hint="eastAsia"/>
          <w:b/>
          <w:bCs/>
        </w:rPr>
        <w:t>课程设置</w:t>
      </w:r>
    </w:p>
    <w:tbl>
      <w:tblPr>
        <w:tblW w:w="5000" w:type="pct"/>
        <w:jc w:val="center"/>
        <w:tblLook w:val="04A0" w:firstRow="1" w:lastRow="0" w:firstColumn="1" w:lastColumn="0" w:noHBand="0" w:noVBand="1"/>
      </w:tblPr>
      <w:tblGrid>
        <w:gridCol w:w="1528"/>
        <w:gridCol w:w="4392"/>
        <w:gridCol w:w="1417"/>
        <w:gridCol w:w="851"/>
        <w:gridCol w:w="1098"/>
      </w:tblGrid>
      <w:tr w:rsidR="005B44AA">
        <w:trPr>
          <w:trHeight w:val="340"/>
          <w:jc w:val="center"/>
        </w:trPr>
        <w:tc>
          <w:tcPr>
            <w:tcW w:w="823" w:type="pct"/>
            <w:tcBorders>
              <w:top w:val="single" w:sz="4" w:space="0" w:color="auto"/>
              <w:left w:val="single" w:sz="4" w:space="0" w:color="auto"/>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课程类别</w:t>
            </w:r>
          </w:p>
        </w:tc>
        <w:tc>
          <w:tcPr>
            <w:tcW w:w="2365"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课程设置</w:t>
            </w:r>
          </w:p>
        </w:tc>
        <w:tc>
          <w:tcPr>
            <w:tcW w:w="763"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课程要求</w:t>
            </w:r>
          </w:p>
        </w:tc>
        <w:tc>
          <w:tcPr>
            <w:tcW w:w="458"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学分</w:t>
            </w:r>
          </w:p>
        </w:tc>
        <w:tc>
          <w:tcPr>
            <w:tcW w:w="591"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总学分</w:t>
            </w:r>
          </w:p>
        </w:tc>
      </w:tr>
      <w:tr w:rsidR="005B44AA">
        <w:trPr>
          <w:trHeight w:val="340"/>
          <w:jc w:val="center"/>
        </w:trPr>
        <w:tc>
          <w:tcPr>
            <w:tcW w:w="823"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公共必修课</w:t>
            </w: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新时代中国特色社会主义理论与实践</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9</w:t>
            </w: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自然辩证法概论</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1</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第一外国语</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4</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工程伦理</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1</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体美劳综合素养概论</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1</w:t>
            </w:r>
          </w:p>
        </w:tc>
        <w:tc>
          <w:tcPr>
            <w:tcW w:w="591"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专业必修课</w:t>
            </w: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论文写作与学术道德规范</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1</w:t>
            </w:r>
          </w:p>
        </w:tc>
        <w:tc>
          <w:tcPr>
            <w:tcW w:w="591"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11</w:t>
            </w:r>
          </w:p>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学科前沿专题课程</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材料与化工现代研究方法</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生物质材料及产品工程</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植物纤维化学综合分析</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hint="eastAsia"/>
                <w:sz w:val="24"/>
                <w:szCs w:val="24"/>
              </w:rPr>
              <w:t>生物质化工与生物质材料</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专业选修课</w:t>
            </w: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hint="eastAsia"/>
                <w:sz w:val="24"/>
                <w:szCs w:val="24"/>
              </w:rPr>
              <w:t>专业英语</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sz w:val="24"/>
                <w:szCs w:val="24"/>
              </w:rPr>
              <w:t>2</w:t>
            </w:r>
          </w:p>
        </w:tc>
        <w:tc>
          <w:tcPr>
            <w:tcW w:w="591" w:type="pct"/>
            <w:vMerge w:val="restart"/>
            <w:tcBorders>
              <w:top w:val="nil"/>
              <w:left w:val="nil"/>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不低于</w:t>
            </w:r>
            <w:r>
              <w:rPr>
                <w:rFonts w:ascii="宋体" w:hAnsi="宋体"/>
                <w:sz w:val="24"/>
                <w:szCs w:val="24"/>
              </w:rPr>
              <w:t>6</w:t>
            </w:r>
          </w:p>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sz w:val="24"/>
                <w:szCs w:val="24"/>
              </w:rPr>
            </w:pPr>
            <w:r w:rsidRPr="00D23488">
              <w:rPr>
                <w:rFonts w:ascii="宋体" w:hAnsi="宋体"/>
                <w:snapToGrid w:val="0"/>
                <w:sz w:val="24"/>
                <w:szCs w:val="24"/>
              </w:rPr>
              <w:t>制浆造纸厂化验室化验检验方法</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sz w:val="24"/>
                <w:szCs w:val="24"/>
              </w:rPr>
            </w:pPr>
            <w:r w:rsidRPr="00D23488">
              <w:rPr>
                <w:rFonts w:ascii="宋体" w:hAnsi="宋体" w:hint="eastAsia"/>
                <w:snapToGrid w:val="0"/>
                <w:sz w:val="24"/>
                <w:szCs w:val="24"/>
              </w:rPr>
              <w:t>现代仪器分析测试技术</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snapToGrid w:val="0"/>
                <w:sz w:val="24"/>
                <w:szCs w:val="24"/>
              </w:rPr>
              <w:t>生物质资源与能源化利用技术</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制浆化学与工程</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snapToGrid w:val="0"/>
                <w:sz w:val="24"/>
                <w:szCs w:val="24"/>
              </w:rPr>
              <w:t>生物酶在制浆造纸行业的应用</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hint="eastAsia"/>
                <w:sz w:val="24"/>
                <w:szCs w:val="24"/>
              </w:rPr>
              <w:t>速生材纤维综合利用</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ascii="宋体" w:hAnsi="宋体" w:hint="eastAsia"/>
                <w:sz w:val="24"/>
                <w:szCs w:val="24"/>
              </w:rPr>
              <w:t>再生纤维的回收与高效利用</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kern w:val="0"/>
                <w:sz w:val="24"/>
                <w:szCs w:val="24"/>
              </w:rPr>
            </w:pPr>
            <w:proofErr w:type="gramStart"/>
            <w:r w:rsidRPr="00D23488">
              <w:rPr>
                <w:rFonts w:ascii="宋体" w:hAnsi="宋体" w:hint="eastAsia"/>
                <w:sz w:val="24"/>
                <w:szCs w:val="24"/>
              </w:rPr>
              <w:t>造纸湿部化学</w:t>
            </w:r>
            <w:proofErr w:type="gramEnd"/>
            <w:r w:rsidRPr="00D23488">
              <w:rPr>
                <w:rFonts w:ascii="宋体" w:hAnsi="宋体" w:hint="eastAsia"/>
                <w:sz w:val="24"/>
                <w:szCs w:val="24"/>
              </w:rPr>
              <w:t>原理及应用</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r w:rsidRPr="00D23488">
              <w:rPr>
                <w:rFonts w:ascii="宋体" w:hAnsi="宋体" w:hint="eastAsia"/>
                <w:sz w:val="24"/>
                <w:szCs w:val="24"/>
              </w:rPr>
              <w:t>造纸用填料及色料化学</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sz w:val="24"/>
                <w:szCs w:val="24"/>
              </w:rPr>
            </w:pPr>
            <w:proofErr w:type="gramStart"/>
            <w:r w:rsidRPr="00D23488">
              <w:rPr>
                <w:rFonts w:ascii="宋体" w:hAnsi="宋体" w:hint="eastAsia"/>
                <w:sz w:val="24"/>
                <w:szCs w:val="24"/>
              </w:rPr>
              <w:t>纸加工</w:t>
            </w:r>
            <w:proofErr w:type="gramEnd"/>
            <w:r w:rsidRPr="00D23488">
              <w:rPr>
                <w:rFonts w:ascii="宋体" w:hAnsi="宋体" w:hint="eastAsia"/>
                <w:sz w:val="24"/>
                <w:szCs w:val="24"/>
              </w:rPr>
              <w:t>技术</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Pr="00D23488" w:rsidRDefault="0032695B">
            <w:pPr>
              <w:spacing w:line="240" w:lineRule="auto"/>
              <w:ind w:firstLineChars="0" w:firstLine="0"/>
              <w:jc w:val="center"/>
              <w:rPr>
                <w:rFonts w:ascii="宋体" w:hAnsi="宋体" w:cs="宋体"/>
                <w:sz w:val="24"/>
                <w:szCs w:val="24"/>
              </w:rPr>
            </w:pPr>
            <w:r w:rsidRPr="00D23488">
              <w:rPr>
                <w:rFonts w:ascii="宋体" w:hAnsi="宋体" w:hint="eastAsia"/>
                <w:snapToGrid w:val="0"/>
                <w:sz w:val="24"/>
                <w:szCs w:val="24"/>
              </w:rPr>
              <w:t>工业水处理剂概论</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2</w:t>
            </w:r>
          </w:p>
        </w:tc>
        <w:tc>
          <w:tcPr>
            <w:tcW w:w="591" w:type="pct"/>
            <w:vMerge/>
            <w:tcBorders>
              <w:left w:val="nil"/>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val="restart"/>
            <w:tcBorders>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必修环节</w:t>
            </w:r>
          </w:p>
        </w:tc>
        <w:tc>
          <w:tcPr>
            <w:tcW w:w="2365" w:type="pct"/>
            <w:tcBorders>
              <w:top w:val="nil"/>
              <w:left w:val="nil"/>
              <w:bottom w:val="single" w:sz="4" w:space="0" w:color="auto"/>
              <w:right w:val="single" w:sz="4" w:space="0" w:color="auto"/>
            </w:tcBorders>
            <w:vAlign w:val="center"/>
          </w:tcPr>
          <w:p w:rsidR="005B44AA" w:rsidRPr="00D23488" w:rsidRDefault="0032695B">
            <w:pPr>
              <w:pStyle w:val="af"/>
              <w:framePr w:hSpace="0" w:wrap="auto" w:vAnchor="margin" w:hAnchor="text" w:xAlign="left" w:yAlign="inline"/>
              <w:rPr>
                <w:rFonts w:ascii="宋体" w:hAnsi="宋体"/>
                <w:snapToGrid w:val="0"/>
                <w:kern w:val="0"/>
                <w:szCs w:val="24"/>
              </w:rPr>
            </w:pPr>
            <w:r w:rsidRPr="00D23488">
              <w:rPr>
                <w:rFonts w:ascii="宋体" w:hAnsi="宋体" w:hint="eastAsia"/>
                <w:szCs w:val="24"/>
              </w:rPr>
              <w:t>文献阅读与开题报告</w:t>
            </w:r>
          </w:p>
        </w:tc>
        <w:tc>
          <w:tcPr>
            <w:tcW w:w="763"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必修</w:t>
            </w:r>
          </w:p>
        </w:tc>
        <w:tc>
          <w:tcPr>
            <w:tcW w:w="458" w:type="pct"/>
            <w:vMerge w:val="restar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szCs w:val="24"/>
              </w:rPr>
              <w:t>1</w:t>
            </w:r>
          </w:p>
        </w:tc>
        <w:tc>
          <w:tcPr>
            <w:tcW w:w="591" w:type="pct"/>
            <w:vMerge w:val="restart"/>
            <w:tcBorders>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2</w:t>
            </w: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pStyle w:val="af"/>
              <w:framePr w:hSpace="0" w:wrap="auto" w:vAnchor="margin" w:hAnchor="text" w:xAlign="left" w:yAlign="inline"/>
              <w:rPr>
                <w:rFonts w:ascii="宋体" w:hAnsi="宋体"/>
                <w:szCs w:val="24"/>
              </w:rPr>
            </w:pPr>
          </w:p>
        </w:tc>
        <w:tc>
          <w:tcPr>
            <w:tcW w:w="2365"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snapToGrid w:val="0"/>
                <w:kern w:val="0"/>
                <w:szCs w:val="24"/>
              </w:rPr>
            </w:pPr>
            <w:r>
              <w:rPr>
                <w:rFonts w:ascii="宋体" w:hAnsi="宋体" w:hint="eastAsia"/>
                <w:szCs w:val="24"/>
              </w:rPr>
              <w:t>中期考核</w:t>
            </w:r>
          </w:p>
        </w:tc>
        <w:tc>
          <w:tcPr>
            <w:tcW w:w="763"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必修</w:t>
            </w:r>
          </w:p>
        </w:tc>
        <w:tc>
          <w:tcPr>
            <w:tcW w:w="458" w:type="pct"/>
            <w:vMerge/>
            <w:tcBorders>
              <w:top w:val="nil"/>
              <w:left w:val="nil"/>
              <w:bottom w:val="single" w:sz="4" w:space="0" w:color="auto"/>
              <w:right w:val="single" w:sz="4" w:space="0" w:color="auto"/>
            </w:tcBorders>
            <w:vAlign w:val="center"/>
          </w:tcPr>
          <w:p w:rsidR="005B44AA" w:rsidRDefault="005B44AA">
            <w:pPr>
              <w:pStyle w:val="af"/>
              <w:framePr w:hSpace="0" w:wrap="auto" w:vAnchor="margin" w:hAnchor="text" w:xAlign="left" w:yAlign="inline"/>
              <w:rPr>
                <w:rFonts w:ascii="宋体" w:hAnsi="宋体"/>
                <w:szCs w:val="24"/>
              </w:rPr>
            </w:pPr>
          </w:p>
        </w:tc>
        <w:tc>
          <w:tcPr>
            <w:tcW w:w="591" w:type="pct"/>
            <w:vMerge/>
            <w:tcBorders>
              <w:left w:val="nil"/>
              <w:bottom w:val="single" w:sz="4" w:space="0" w:color="auto"/>
              <w:right w:val="single" w:sz="4" w:space="0" w:color="auto"/>
            </w:tcBorders>
            <w:vAlign w:val="center"/>
          </w:tcPr>
          <w:p w:rsidR="005B44AA" w:rsidRDefault="005B44AA">
            <w:pPr>
              <w:pStyle w:val="af"/>
              <w:framePr w:hSpace="0" w:wrap="auto" w:vAnchor="margin" w:hAnchor="text" w:xAlign="left" w:yAlign="inline"/>
              <w:rPr>
                <w:rFonts w:ascii="宋体" w:hAnsi="宋体"/>
                <w:szCs w:val="24"/>
              </w:rPr>
            </w:pP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pStyle w:val="af"/>
              <w:framePr w:hSpace="0" w:wrap="auto" w:vAnchor="margin" w:hAnchor="text" w:xAlign="left" w:yAlign="inline"/>
              <w:rPr>
                <w:rFonts w:ascii="宋体" w:hAnsi="宋体"/>
                <w:szCs w:val="24"/>
              </w:rPr>
            </w:pPr>
          </w:p>
        </w:tc>
        <w:tc>
          <w:tcPr>
            <w:tcW w:w="2365"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snapToGrid w:val="0"/>
                <w:kern w:val="0"/>
                <w:szCs w:val="24"/>
              </w:rPr>
            </w:pPr>
            <w:r>
              <w:rPr>
                <w:rFonts w:ascii="宋体" w:hAnsi="宋体" w:hint="eastAsia"/>
                <w:szCs w:val="24"/>
              </w:rPr>
              <w:t>学术活动</w:t>
            </w:r>
          </w:p>
        </w:tc>
        <w:tc>
          <w:tcPr>
            <w:tcW w:w="763"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必修</w:t>
            </w:r>
          </w:p>
        </w:tc>
        <w:tc>
          <w:tcPr>
            <w:tcW w:w="458"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1</w:t>
            </w:r>
          </w:p>
        </w:tc>
        <w:tc>
          <w:tcPr>
            <w:tcW w:w="591" w:type="pct"/>
            <w:vMerge/>
            <w:tcBorders>
              <w:left w:val="nil"/>
              <w:bottom w:val="single" w:sz="4" w:space="0" w:color="auto"/>
              <w:right w:val="single" w:sz="4" w:space="0" w:color="auto"/>
            </w:tcBorders>
            <w:vAlign w:val="center"/>
          </w:tcPr>
          <w:p w:rsidR="005B44AA" w:rsidRDefault="005B44AA">
            <w:pPr>
              <w:pStyle w:val="af"/>
              <w:framePr w:hSpace="0" w:wrap="auto" w:vAnchor="margin" w:hAnchor="text" w:xAlign="left" w:yAlign="inline"/>
              <w:rPr>
                <w:rFonts w:ascii="宋体" w:hAnsi="宋体"/>
                <w:szCs w:val="24"/>
              </w:rPr>
            </w:pPr>
          </w:p>
        </w:tc>
      </w:tr>
      <w:tr w:rsidR="005B44AA">
        <w:trPr>
          <w:trHeight w:val="340"/>
          <w:jc w:val="center"/>
        </w:trPr>
        <w:tc>
          <w:tcPr>
            <w:tcW w:w="3188" w:type="pct"/>
            <w:gridSpan w:val="2"/>
            <w:tcBorders>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snapToGrid w:val="0"/>
                <w:szCs w:val="24"/>
              </w:rPr>
            </w:pPr>
            <w:r>
              <w:rPr>
                <w:rFonts w:ascii="宋体" w:hAnsi="宋体" w:hint="eastAsia"/>
                <w:szCs w:val="24"/>
              </w:rPr>
              <w:t>专业实践</w:t>
            </w:r>
          </w:p>
        </w:tc>
        <w:tc>
          <w:tcPr>
            <w:tcW w:w="763"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szCs w:val="24"/>
              </w:rPr>
            </w:pPr>
            <w:r>
              <w:rPr>
                <w:rFonts w:ascii="宋体" w:hAnsi="宋体" w:hint="eastAsia"/>
                <w:szCs w:val="24"/>
              </w:rPr>
              <w:t>必修</w:t>
            </w:r>
          </w:p>
        </w:tc>
        <w:tc>
          <w:tcPr>
            <w:tcW w:w="458"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6</w:t>
            </w:r>
          </w:p>
        </w:tc>
        <w:tc>
          <w:tcPr>
            <w:tcW w:w="591" w:type="pct"/>
            <w:tcBorders>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ascii="宋体" w:hAnsi="宋体" w:hint="eastAsia"/>
                <w:szCs w:val="24"/>
              </w:rPr>
              <w:t>6</w:t>
            </w:r>
          </w:p>
        </w:tc>
      </w:tr>
      <w:tr w:rsidR="005B44AA">
        <w:trPr>
          <w:trHeight w:val="340"/>
          <w:jc w:val="center"/>
        </w:trPr>
        <w:tc>
          <w:tcPr>
            <w:tcW w:w="823"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补修课程</w:t>
            </w: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ascii="宋体" w:hAnsi="宋体" w:hint="eastAsia"/>
                <w:sz w:val="24"/>
                <w:szCs w:val="24"/>
              </w:rPr>
              <w:t>造纸植物资源化学</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0</w:t>
            </w:r>
          </w:p>
        </w:tc>
        <w:tc>
          <w:tcPr>
            <w:tcW w:w="591" w:type="pct"/>
            <w:vMerge w:val="restart"/>
            <w:tcBorders>
              <w:top w:val="nil"/>
              <w:left w:val="nil"/>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任选2门，不计</w:t>
            </w:r>
            <w:r>
              <w:rPr>
                <w:rFonts w:ascii="宋体" w:hAnsi="宋体" w:hint="eastAsia"/>
                <w:sz w:val="24"/>
                <w:szCs w:val="24"/>
              </w:rPr>
              <w:lastRenderedPageBreak/>
              <w:t>学分</w:t>
            </w:r>
          </w:p>
        </w:tc>
      </w:tr>
      <w:tr w:rsidR="005B44AA">
        <w:trPr>
          <w:trHeight w:val="340"/>
          <w:jc w:val="center"/>
        </w:trPr>
        <w:tc>
          <w:tcPr>
            <w:tcW w:w="823"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ascii="宋体" w:hAnsi="宋体" w:hint="eastAsia"/>
                <w:sz w:val="24"/>
                <w:szCs w:val="24"/>
              </w:rPr>
              <w:t>造纸原理与工程</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0</w:t>
            </w:r>
          </w:p>
        </w:tc>
        <w:tc>
          <w:tcPr>
            <w:tcW w:w="591" w:type="pct"/>
            <w:vMerge/>
            <w:tcBorders>
              <w:left w:val="nil"/>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2365"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ascii="宋体" w:hAnsi="宋体" w:hint="eastAsia"/>
                <w:sz w:val="24"/>
                <w:szCs w:val="24"/>
              </w:rPr>
              <w:t>制浆原理与工程</w:t>
            </w:r>
          </w:p>
        </w:tc>
        <w:tc>
          <w:tcPr>
            <w:tcW w:w="763"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0</w:t>
            </w:r>
          </w:p>
        </w:tc>
        <w:tc>
          <w:tcPr>
            <w:tcW w:w="591" w:type="pct"/>
            <w:vMerge/>
            <w:tcBorders>
              <w:left w:val="nil"/>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r>
      <w:tr w:rsidR="005B44AA">
        <w:trPr>
          <w:trHeight w:val="340"/>
          <w:jc w:val="center"/>
        </w:trPr>
        <w:tc>
          <w:tcPr>
            <w:tcW w:w="823" w:type="pct"/>
            <w:tcBorders>
              <w:top w:val="nil"/>
              <w:left w:val="single" w:sz="4" w:space="0" w:color="auto"/>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课程总学分</w:t>
            </w:r>
          </w:p>
        </w:tc>
        <w:tc>
          <w:tcPr>
            <w:tcW w:w="2365"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763"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458"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rFonts w:ascii="宋体" w:hAnsi="宋体"/>
                <w:sz w:val="24"/>
                <w:szCs w:val="24"/>
              </w:rPr>
            </w:pPr>
          </w:p>
        </w:tc>
        <w:tc>
          <w:tcPr>
            <w:tcW w:w="591"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sz w:val="24"/>
                <w:szCs w:val="24"/>
              </w:rPr>
            </w:pPr>
            <w:r>
              <w:rPr>
                <w:rFonts w:ascii="宋体" w:hAnsi="宋体" w:hint="eastAsia"/>
                <w:sz w:val="24"/>
                <w:szCs w:val="24"/>
              </w:rPr>
              <w:t>不低于</w:t>
            </w:r>
            <w:r>
              <w:rPr>
                <w:rFonts w:ascii="宋体" w:hAnsi="宋体"/>
                <w:sz w:val="24"/>
                <w:szCs w:val="24"/>
              </w:rPr>
              <w:t>3</w:t>
            </w:r>
            <w:r>
              <w:rPr>
                <w:rFonts w:ascii="宋体" w:hAnsi="宋体" w:hint="eastAsia"/>
                <w:sz w:val="24"/>
                <w:szCs w:val="24"/>
              </w:rPr>
              <w:t>4</w:t>
            </w:r>
          </w:p>
        </w:tc>
      </w:tr>
    </w:tbl>
    <w:p w:rsidR="005B44AA" w:rsidRDefault="005B44AA">
      <w:pPr>
        <w:ind w:firstLineChars="0" w:firstLine="0"/>
      </w:pPr>
    </w:p>
    <w:p w:rsidR="005B44AA" w:rsidRDefault="0032695B">
      <w:pPr>
        <w:ind w:firstLineChars="0" w:firstLine="0"/>
        <w:jc w:val="center"/>
        <w:rPr>
          <w:b/>
          <w:bCs/>
        </w:rPr>
      </w:pPr>
      <w:r>
        <w:rPr>
          <w:rFonts w:hint="eastAsia"/>
          <w:b/>
          <w:bCs/>
        </w:rPr>
        <w:t>适用于方向</w:t>
      </w:r>
      <w:r>
        <w:rPr>
          <w:b/>
          <w:bCs/>
        </w:rPr>
        <w:t>3</w:t>
      </w:r>
      <w:r>
        <w:rPr>
          <w:rFonts w:hint="eastAsia"/>
          <w:b/>
          <w:bCs/>
        </w:rPr>
        <w:t>的</w:t>
      </w:r>
      <w:r>
        <w:rPr>
          <w:b/>
          <w:bCs/>
        </w:rPr>
        <w:t>专业学位硕士研究生</w:t>
      </w:r>
      <w:r>
        <w:rPr>
          <w:rFonts w:hint="eastAsia"/>
          <w:b/>
          <w:bCs/>
        </w:rPr>
        <w:t>课程设置</w:t>
      </w:r>
    </w:p>
    <w:tbl>
      <w:tblPr>
        <w:tblW w:w="5000" w:type="pct"/>
        <w:jc w:val="center"/>
        <w:tblLook w:val="04A0" w:firstRow="1" w:lastRow="0" w:firstColumn="1" w:lastColumn="0" w:noHBand="0" w:noVBand="1"/>
      </w:tblPr>
      <w:tblGrid>
        <w:gridCol w:w="1526"/>
        <w:gridCol w:w="4394"/>
        <w:gridCol w:w="1419"/>
        <w:gridCol w:w="851"/>
        <w:gridCol w:w="1096"/>
      </w:tblGrid>
      <w:tr w:rsidR="005B44AA">
        <w:trPr>
          <w:trHeight w:val="20"/>
          <w:jc w:val="center"/>
        </w:trPr>
        <w:tc>
          <w:tcPr>
            <w:tcW w:w="822" w:type="pct"/>
            <w:tcBorders>
              <w:top w:val="single" w:sz="4" w:space="0" w:color="auto"/>
              <w:left w:val="single" w:sz="4" w:space="0" w:color="auto"/>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课程类别</w:t>
            </w:r>
          </w:p>
        </w:tc>
        <w:tc>
          <w:tcPr>
            <w:tcW w:w="2366"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课程设置</w:t>
            </w:r>
          </w:p>
        </w:tc>
        <w:tc>
          <w:tcPr>
            <w:tcW w:w="764"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课程要求</w:t>
            </w:r>
          </w:p>
        </w:tc>
        <w:tc>
          <w:tcPr>
            <w:tcW w:w="458"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学分</w:t>
            </w:r>
          </w:p>
        </w:tc>
        <w:tc>
          <w:tcPr>
            <w:tcW w:w="590"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黑体" w:eastAsia="黑体" w:hAnsi="黑体"/>
                <w:b/>
                <w:bCs/>
              </w:rPr>
            </w:pPr>
            <w:r>
              <w:rPr>
                <w:rFonts w:ascii="黑体" w:eastAsia="黑体" w:hAnsi="黑体" w:hint="eastAsia"/>
                <w:b/>
                <w:bCs/>
              </w:rPr>
              <w:t>总学分</w:t>
            </w:r>
          </w:p>
        </w:tc>
      </w:tr>
      <w:tr w:rsidR="005B44AA">
        <w:trPr>
          <w:trHeight w:val="20"/>
          <w:jc w:val="center"/>
        </w:trPr>
        <w:tc>
          <w:tcPr>
            <w:tcW w:w="822"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公共必修课</w:t>
            </w: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新时代中国特色社会主义理论与实践</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9</w:t>
            </w: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自然辩证法概论</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第一外国语</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4</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工程伦理</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体美劳综合素养概论</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专业必修课</w:t>
            </w: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论文写作与学术道德规范</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val="restart"/>
            <w:tcBorders>
              <w:top w:val="nil"/>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11</w:t>
            </w:r>
          </w:p>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学科前沿专题课程</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现代分析方法与技术</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绿色制革技术</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聚合物反应原理</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高等有机化学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val="restart"/>
            <w:tcBorders>
              <w:top w:val="single" w:sz="4" w:space="0" w:color="auto"/>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专业选修课</w:t>
            </w: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皮革化工材料结构与性能</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restart"/>
            <w:tcBorders>
              <w:top w:val="single" w:sz="4" w:space="0" w:color="auto"/>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不低于</w:t>
            </w:r>
            <w:r>
              <w:rPr>
                <w:sz w:val="24"/>
                <w:szCs w:val="24"/>
              </w:rPr>
              <w:t>6</w:t>
            </w:r>
          </w:p>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聚氨酯树脂及其应用</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生物质材料</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蛋白质化学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网络文献检索</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sz w:val="24"/>
                <w:szCs w:val="24"/>
              </w:rPr>
              <w:t>1</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化学实验设计优化方法</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科技论文绘图</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轻工化学品的制备及实践</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生物无机化学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蛋白质分离分析实验</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制革工程训练</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高分子材料加工原理</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涂料化学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水性大分子材料</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专业英语（皮革方向）</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val="restart"/>
            <w:tcBorders>
              <w:top w:val="single" w:sz="4" w:space="0" w:color="auto"/>
              <w:left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必修环节</w:t>
            </w:r>
          </w:p>
        </w:tc>
        <w:tc>
          <w:tcPr>
            <w:tcW w:w="2366"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szCs w:val="24"/>
              </w:rPr>
            </w:pPr>
            <w:r>
              <w:rPr>
                <w:rFonts w:hint="eastAsia"/>
                <w:szCs w:val="24"/>
              </w:rPr>
              <w:t>文献阅读与开题报告</w:t>
            </w:r>
          </w:p>
        </w:tc>
        <w:tc>
          <w:tcPr>
            <w:tcW w:w="764"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vMerge w:val="restar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szCs w:val="24"/>
              </w:rPr>
              <w:t>1</w:t>
            </w:r>
          </w:p>
        </w:tc>
        <w:tc>
          <w:tcPr>
            <w:tcW w:w="590" w:type="pct"/>
            <w:vMerge w:val="restart"/>
            <w:tcBorders>
              <w:top w:val="single" w:sz="4" w:space="0" w:color="auto"/>
              <w:left w:val="nil"/>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2</w:t>
            </w:r>
          </w:p>
        </w:tc>
      </w:tr>
      <w:tr w:rsidR="005B44AA">
        <w:trPr>
          <w:trHeight w:val="20"/>
          <w:jc w:val="center"/>
        </w:trPr>
        <w:tc>
          <w:tcPr>
            <w:tcW w:w="822" w:type="pct"/>
            <w:vMerge/>
            <w:tcBorders>
              <w:top w:val="single" w:sz="4" w:space="0" w:color="auto"/>
              <w:left w:val="single" w:sz="4" w:space="0" w:color="auto"/>
              <w:right w:val="single" w:sz="4" w:space="0" w:color="auto"/>
            </w:tcBorders>
            <w:vAlign w:val="center"/>
          </w:tcPr>
          <w:p w:rsidR="005B44AA" w:rsidRDefault="005B44AA">
            <w:pPr>
              <w:pStyle w:val="af"/>
              <w:framePr w:hSpace="0" w:wrap="auto" w:vAnchor="margin" w:hAnchor="text" w:xAlign="left" w:yAlign="inline"/>
              <w:rPr>
                <w:szCs w:val="24"/>
              </w:rPr>
            </w:pPr>
          </w:p>
        </w:tc>
        <w:tc>
          <w:tcPr>
            <w:tcW w:w="2366"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szCs w:val="24"/>
              </w:rPr>
            </w:pPr>
            <w:r>
              <w:rPr>
                <w:rFonts w:hint="eastAsia"/>
                <w:szCs w:val="24"/>
              </w:rPr>
              <w:t>中期考核</w:t>
            </w:r>
          </w:p>
        </w:tc>
        <w:tc>
          <w:tcPr>
            <w:tcW w:w="764"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vMerge/>
            <w:tcBorders>
              <w:top w:val="nil"/>
              <w:left w:val="nil"/>
              <w:bottom w:val="single" w:sz="4" w:space="0" w:color="auto"/>
              <w:right w:val="single" w:sz="4" w:space="0" w:color="auto"/>
            </w:tcBorders>
            <w:vAlign w:val="center"/>
          </w:tcPr>
          <w:p w:rsidR="005B44AA" w:rsidRDefault="005B44AA">
            <w:pPr>
              <w:pStyle w:val="af"/>
              <w:framePr w:hSpace="0" w:wrap="auto" w:vAnchor="margin" w:hAnchor="text" w:xAlign="left" w:yAlign="inline"/>
              <w:rPr>
                <w:szCs w:val="24"/>
              </w:rPr>
            </w:pPr>
          </w:p>
        </w:tc>
        <w:tc>
          <w:tcPr>
            <w:tcW w:w="590" w:type="pct"/>
            <w:vMerge/>
            <w:tcBorders>
              <w:top w:val="single" w:sz="4" w:space="0" w:color="auto"/>
              <w:left w:val="nil"/>
              <w:right w:val="single" w:sz="4" w:space="0" w:color="auto"/>
            </w:tcBorders>
            <w:vAlign w:val="center"/>
          </w:tcPr>
          <w:p w:rsidR="005B44AA" w:rsidRDefault="005B44AA">
            <w:pPr>
              <w:pStyle w:val="af"/>
              <w:framePr w:hSpace="0" w:wrap="auto" w:vAnchor="margin" w:hAnchor="text" w:xAlign="left" w:yAlign="inline"/>
              <w:rPr>
                <w:szCs w:val="24"/>
              </w:rPr>
            </w:pPr>
          </w:p>
        </w:tc>
      </w:tr>
      <w:tr w:rsidR="005B44AA">
        <w:trPr>
          <w:trHeight w:val="20"/>
          <w:jc w:val="center"/>
        </w:trPr>
        <w:tc>
          <w:tcPr>
            <w:tcW w:w="822" w:type="pct"/>
            <w:vMerge/>
            <w:tcBorders>
              <w:top w:val="single" w:sz="4" w:space="0" w:color="auto"/>
              <w:left w:val="single" w:sz="4" w:space="0" w:color="auto"/>
              <w:bottom w:val="single" w:sz="4" w:space="0" w:color="auto"/>
              <w:right w:val="single" w:sz="4" w:space="0" w:color="auto"/>
            </w:tcBorders>
            <w:vAlign w:val="center"/>
          </w:tcPr>
          <w:p w:rsidR="005B44AA" w:rsidRDefault="005B44AA">
            <w:pPr>
              <w:pStyle w:val="af"/>
              <w:framePr w:hSpace="0" w:wrap="auto" w:vAnchor="margin" w:hAnchor="text" w:xAlign="left" w:yAlign="inline"/>
              <w:rPr>
                <w:szCs w:val="24"/>
              </w:rPr>
            </w:pPr>
          </w:p>
        </w:tc>
        <w:tc>
          <w:tcPr>
            <w:tcW w:w="2366"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szCs w:val="24"/>
              </w:rPr>
            </w:pPr>
            <w:r>
              <w:rPr>
                <w:rFonts w:hint="eastAsia"/>
                <w:szCs w:val="24"/>
              </w:rPr>
              <w:t>学术活动</w:t>
            </w:r>
          </w:p>
        </w:tc>
        <w:tc>
          <w:tcPr>
            <w:tcW w:w="764"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tcBorders>
              <w:top w:val="nil"/>
              <w:left w:val="nil"/>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1</w:t>
            </w:r>
          </w:p>
        </w:tc>
        <w:tc>
          <w:tcPr>
            <w:tcW w:w="590" w:type="pct"/>
            <w:vMerge/>
            <w:tcBorders>
              <w:top w:val="single" w:sz="4" w:space="0" w:color="auto"/>
              <w:left w:val="nil"/>
              <w:bottom w:val="single" w:sz="4" w:space="0" w:color="auto"/>
              <w:right w:val="single" w:sz="4" w:space="0" w:color="auto"/>
            </w:tcBorders>
            <w:vAlign w:val="center"/>
          </w:tcPr>
          <w:p w:rsidR="005B44AA" w:rsidRDefault="005B44AA">
            <w:pPr>
              <w:pStyle w:val="af"/>
              <w:framePr w:hSpace="0" w:wrap="auto" w:vAnchor="margin" w:hAnchor="text" w:xAlign="left" w:yAlign="inline"/>
              <w:rPr>
                <w:szCs w:val="24"/>
              </w:rPr>
            </w:pPr>
          </w:p>
        </w:tc>
      </w:tr>
      <w:tr w:rsidR="005B44AA">
        <w:trPr>
          <w:trHeight w:val="20"/>
          <w:jc w:val="center"/>
        </w:trPr>
        <w:tc>
          <w:tcPr>
            <w:tcW w:w="3188" w:type="pct"/>
            <w:gridSpan w:val="2"/>
            <w:tcBorders>
              <w:top w:val="single" w:sz="4" w:space="0" w:color="auto"/>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szCs w:val="24"/>
              </w:rPr>
            </w:pPr>
            <w:r>
              <w:rPr>
                <w:rFonts w:hint="eastAsia"/>
                <w:szCs w:val="24"/>
              </w:rPr>
              <w:t>专业实践</w:t>
            </w:r>
          </w:p>
        </w:tc>
        <w:tc>
          <w:tcPr>
            <w:tcW w:w="764" w:type="pct"/>
            <w:tcBorders>
              <w:top w:val="single" w:sz="4" w:space="0" w:color="auto"/>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szCs w:val="24"/>
              </w:rPr>
            </w:pPr>
            <w:r>
              <w:rPr>
                <w:rFonts w:hint="eastAsia"/>
                <w:szCs w:val="24"/>
              </w:rPr>
              <w:t>必修</w:t>
            </w:r>
          </w:p>
        </w:tc>
        <w:tc>
          <w:tcPr>
            <w:tcW w:w="458" w:type="pct"/>
            <w:tcBorders>
              <w:top w:val="single" w:sz="4" w:space="0" w:color="auto"/>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6</w:t>
            </w:r>
          </w:p>
        </w:tc>
        <w:tc>
          <w:tcPr>
            <w:tcW w:w="590" w:type="pct"/>
            <w:tcBorders>
              <w:top w:val="single" w:sz="4" w:space="0" w:color="auto"/>
              <w:left w:val="single" w:sz="4" w:space="0" w:color="auto"/>
              <w:bottom w:val="single" w:sz="4" w:space="0" w:color="auto"/>
              <w:right w:val="single" w:sz="4" w:space="0" w:color="auto"/>
            </w:tcBorders>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6</w:t>
            </w:r>
          </w:p>
        </w:tc>
      </w:tr>
      <w:tr w:rsidR="005B44AA">
        <w:trPr>
          <w:trHeight w:val="20"/>
          <w:jc w:val="center"/>
        </w:trPr>
        <w:tc>
          <w:tcPr>
            <w:tcW w:w="822" w:type="pct"/>
            <w:vMerge w:val="restart"/>
            <w:tcBorders>
              <w:top w:val="single" w:sz="4" w:space="0" w:color="auto"/>
              <w:left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补修课程</w:t>
            </w:r>
          </w:p>
        </w:tc>
        <w:tc>
          <w:tcPr>
            <w:tcW w:w="2366"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sz w:val="24"/>
                <w:szCs w:val="24"/>
              </w:rPr>
            </w:pPr>
            <w:r>
              <w:rPr>
                <w:snapToGrid w:val="0"/>
                <w:sz w:val="24"/>
                <w:szCs w:val="24"/>
              </w:rPr>
              <w:t>皮革鞣制化学与工艺</w:t>
            </w:r>
          </w:p>
        </w:tc>
        <w:tc>
          <w:tcPr>
            <w:tcW w:w="764"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tcBorders>
              <w:top w:val="single" w:sz="4" w:space="0" w:color="auto"/>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val="restart"/>
            <w:tcBorders>
              <w:top w:val="single" w:sz="4" w:space="0" w:color="auto"/>
              <w:left w:val="nil"/>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任选</w:t>
            </w:r>
            <w:r>
              <w:rPr>
                <w:rFonts w:hint="eastAsia"/>
                <w:sz w:val="24"/>
                <w:szCs w:val="24"/>
              </w:rPr>
              <w:t>2</w:t>
            </w:r>
            <w:r>
              <w:rPr>
                <w:rFonts w:hint="eastAsia"/>
                <w:sz w:val="24"/>
                <w:szCs w:val="24"/>
              </w:rPr>
              <w:t>门，不计学分</w:t>
            </w: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cs="宋体"/>
                <w:kern w:val="0"/>
                <w:sz w:val="24"/>
                <w:szCs w:val="24"/>
              </w:rPr>
            </w:pPr>
            <w:r>
              <w:rPr>
                <w:rFonts w:hint="eastAsia"/>
                <w:sz w:val="24"/>
                <w:szCs w:val="24"/>
              </w:rPr>
              <w:t>皮革</w:t>
            </w:r>
            <w:proofErr w:type="gramStart"/>
            <w:r>
              <w:rPr>
                <w:rFonts w:hint="eastAsia"/>
                <w:sz w:val="24"/>
                <w:szCs w:val="24"/>
              </w:rPr>
              <w:t>整饰</w:t>
            </w:r>
            <w:proofErr w:type="gramEnd"/>
            <w:r>
              <w:rPr>
                <w:rFonts w:hint="eastAsia"/>
                <w:sz w:val="24"/>
                <w:szCs w:val="24"/>
              </w:rPr>
              <w:t>化学与工艺</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tcBorders>
              <w:left w:val="nil"/>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vMerge/>
            <w:tcBorders>
              <w:left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rFonts w:ascii="宋体" w:hAnsi="宋体" w:cs="宋体"/>
                <w:sz w:val="24"/>
                <w:szCs w:val="24"/>
              </w:rPr>
            </w:pPr>
            <w:r>
              <w:rPr>
                <w:snapToGrid w:val="0"/>
                <w:sz w:val="24"/>
                <w:szCs w:val="24"/>
              </w:rPr>
              <w:t>皮革化工材料学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tcBorders>
              <w:left w:val="nil"/>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391"/>
          <w:jc w:val="center"/>
        </w:trPr>
        <w:tc>
          <w:tcPr>
            <w:tcW w:w="822" w:type="pct"/>
            <w:vMerge/>
            <w:tcBorders>
              <w:left w:val="single" w:sz="4" w:space="0" w:color="auto"/>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napToGrid w:val="0"/>
                <w:sz w:val="24"/>
                <w:szCs w:val="24"/>
              </w:rPr>
            </w:pPr>
            <w:r>
              <w:rPr>
                <w:snapToGrid w:val="0"/>
                <w:sz w:val="24"/>
                <w:szCs w:val="24"/>
              </w:rPr>
              <w:t>合成革工艺学</w:t>
            </w:r>
          </w:p>
        </w:tc>
        <w:tc>
          <w:tcPr>
            <w:tcW w:w="764"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tcBorders>
              <w:left w:val="nil"/>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20"/>
          <w:jc w:val="center"/>
        </w:trPr>
        <w:tc>
          <w:tcPr>
            <w:tcW w:w="822" w:type="pct"/>
            <w:tcBorders>
              <w:top w:val="nil"/>
              <w:left w:val="single" w:sz="4" w:space="0" w:color="auto"/>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lastRenderedPageBreak/>
              <w:t>课程总学分</w:t>
            </w:r>
          </w:p>
        </w:tc>
        <w:tc>
          <w:tcPr>
            <w:tcW w:w="2366"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764"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458" w:type="pct"/>
            <w:tcBorders>
              <w:top w:val="nil"/>
              <w:left w:val="nil"/>
              <w:bottom w:val="single" w:sz="4" w:space="0" w:color="auto"/>
              <w:right w:val="single" w:sz="4" w:space="0" w:color="auto"/>
            </w:tcBorders>
            <w:vAlign w:val="center"/>
          </w:tcPr>
          <w:p w:rsidR="005B44AA" w:rsidRDefault="005B44AA">
            <w:pPr>
              <w:spacing w:line="240" w:lineRule="auto"/>
              <w:ind w:firstLineChars="0" w:firstLine="0"/>
              <w:jc w:val="center"/>
              <w:rPr>
                <w:sz w:val="24"/>
                <w:szCs w:val="24"/>
              </w:rPr>
            </w:pPr>
          </w:p>
        </w:tc>
        <w:tc>
          <w:tcPr>
            <w:tcW w:w="590" w:type="pct"/>
            <w:tcBorders>
              <w:top w:val="nil"/>
              <w:left w:val="nil"/>
              <w:bottom w:val="single" w:sz="4" w:space="0" w:color="auto"/>
              <w:right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不低于</w:t>
            </w:r>
            <w:r>
              <w:rPr>
                <w:sz w:val="24"/>
                <w:szCs w:val="24"/>
              </w:rPr>
              <w:t>3</w:t>
            </w:r>
            <w:r>
              <w:rPr>
                <w:rFonts w:hint="eastAsia"/>
                <w:sz w:val="24"/>
                <w:szCs w:val="24"/>
              </w:rPr>
              <w:t>4</w:t>
            </w:r>
          </w:p>
        </w:tc>
      </w:tr>
    </w:tbl>
    <w:p w:rsidR="005B44AA" w:rsidRDefault="005B44AA">
      <w:pPr>
        <w:ind w:firstLineChars="0" w:firstLine="0"/>
      </w:pPr>
    </w:p>
    <w:p w:rsidR="005B44AA" w:rsidRDefault="0032695B">
      <w:pPr>
        <w:ind w:firstLineChars="0" w:firstLine="0"/>
        <w:jc w:val="center"/>
        <w:rPr>
          <w:b/>
          <w:bCs/>
        </w:rPr>
      </w:pPr>
      <w:r>
        <w:rPr>
          <w:rFonts w:hint="eastAsia"/>
          <w:b/>
          <w:bCs/>
        </w:rPr>
        <w:t>适用于方向</w:t>
      </w:r>
      <w:r>
        <w:rPr>
          <w:b/>
          <w:bCs/>
        </w:rPr>
        <w:t>04</w:t>
      </w:r>
      <w:r>
        <w:rPr>
          <w:rFonts w:hint="eastAsia"/>
          <w:b/>
          <w:bCs/>
        </w:rPr>
        <w:t>的</w:t>
      </w:r>
      <w:r>
        <w:rPr>
          <w:b/>
          <w:bCs/>
        </w:rPr>
        <w:t>专业学位硕士研究生</w:t>
      </w:r>
      <w:r>
        <w:rPr>
          <w:rFonts w:hint="eastAsia"/>
          <w:b/>
          <w:bCs/>
        </w:rPr>
        <w:t>课程设置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394"/>
        <w:gridCol w:w="1419"/>
        <w:gridCol w:w="851"/>
        <w:gridCol w:w="1096"/>
      </w:tblGrid>
      <w:tr w:rsidR="005B44AA">
        <w:trPr>
          <w:trHeight w:val="340"/>
          <w:jc w:val="center"/>
        </w:trPr>
        <w:tc>
          <w:tcPr>
            <w:tcW w:w="822" w:type="pct"/>
            <w:vAlign w:val="center"/>
          </w:tcPr>
          <w:p w:rsidR="005B44AA" w:rsidRDefault="0032695B">
            <w:pPr>
              <w:spacing w:line="240" w:lineRule="auto"/>
              <w:ind w:firstLineChars="0" w:firstLine="0"/>
              <w:jc w:val="center"/>
              <w:rPr>
                <w:rFonts w:ascii="黑体" w:eastAsia="黑体" w:hAnsi="黑体"/>
              </w:rPr>
            </w:pPr>
            <w:r>
              <w:rPr>
                <w:rFonts w:ascii="黑体" w:eastAsia="黑体" w:hAnsi="黑体" w:hint="eastAsia"/>
              </w:rPr>
              <w:t>课程类别</w:t>
            </w:r>
          </w:p>
        </w:tc>
        <w:tc>
          <w:tcPr>
            <w:tcW w:w="2366" w:type="pct"/>
            <w:vAlign w:val="center"/>
          </w:tcPr>
          <w:p w:rsidR="005B44AA" w:rsidRDefault="0032695B">
            <w:pPr>
              <w:spacing w:line="240" w:lineRule="auto"/>
              <w:ind w:firstLineChars="0" w:firstLine="0"/>
              <w:jc w:val="center"/>
              <w:rPr>
                <w:rFonts w:ascii="黑体" w:eastAsia="黑体" w:hAnsi="黑体"/>
              </w:rPr>
            </w:pPr>
            <w:r>
              <w:rPr>
                <w:rFonts w:ascii="黑体" w:eastAsia="黑体" w:hAnsi="黑体" w:hint="eastAsia"/>
              </w:rPr>
              <w:t>课程设置</w:t>
            </w:r>
          </w:p>
        </w:tc>
        <w:tc>
          <w:tcPr>
            <w:tcW w:w="764" w:type="pct"/>
            <w:vAlign w:val="center"/>
          </w:tcPr>
          <w:p w:rsidR="005B44AA" w:rsidRDefault="0032695B">
            <w:pPr>
              <w:spacing w:line="240" w:lineRule="auto"/>
              <w:ind w:firstLineChars="0" w:firstLine="0"/>
              <w:jc w:val="center"/>
              <w:rPr>
                <w:rFonts w:ascii="黑体" w:eastAsia="黑体" w:hAnsi="黑体"/>
              </w:rPr>
            </w:pPr>
            <w:r>
              <w:rPr>
                <w:rFonts w:ascii="黑体" w:eastAsia="黑体" w:hAnsi="黑体" w:hint="eastAsia"/>
              </w:rPr>
              <w:t>课程要求</w:t>
            </w:r>
          </w:p>
        </w:tc>
        <w:tc>
          <w:tcPr>
            <w:tcW w:w="458" w:type="pct"/>
            <w:vAlign w:val="center"/>
          </w:tcPr>
          <w:p w:rsidR="005B44AA" w:rsidRDefault="0032695B">
            <w:pPr>
              <w:spacing w:line="240" w:lineRule="auto"/>
              <w:ind w:firstLineChars="0" w:firstLine="0"/>
              <w:jc w:val="center"/>
              <w:rPr>
                <w:rFonts w:ascii="黑体" w:eastAsia="黑体" w:hAnsi="黑体"/>
              </w:rPr>
            </w:pPr>
            <w:r>
              <w:rPr>
                <w:rFonts w:ascii="黑体" w:eastAsia="黑体" w:hAnsi="黑体" w:hint="eastAsia"/>
              </w:rPr>
              <w:t>学分</w:t>
            </w:r>
          </w:p>
        </w:tc>
        <w:tc>
          <w:tcPr>
            <w:tcW w:w="590" w:type="pct"/>
            <w:vAlign w:val="center"/>
          </w:tcPr>
          <w:p w:rsidR="005B44AA" w:rsidRDefault="0032695B">
            <w:pPr>
              <w:spacing w:line="240" w:lineRule="auto"/>
              <w:ind w:firstLineChars="0" w:firstLine="0"/>
              <w:jc w:val="center"/>
              <w:rPr>
                <w:rFonts w:ascii="黑体" w:eastAsia="黑体" w:hAnsi="黑体"/>
              </w:rPr>
            </w:pPr>
            <w:r>
              <w:rPr>
                <w:rFonts w:ascii="黑体" w:eastAsia="黑体" w:hAnsi="黑体" w:hint="eastAsia"/>
              </w:rPr>
              <w:t>总学分</w:t>
            </w:r>
          </w:p>
        </w:tc>
      </w:tr>
      <w:tr w:rsidR="005B44AA">
        <w:trPr>
          <w:trHeight w:val="340"/>
          <w:jc w:val="center"/>
        </w:trPr>
        <w:tc>
          <w:tcPr>
            <w:tcW w:w="822"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公共必修课</w:t>
            </w:r>
          </w:p>
        </w:tc>
        <w:tc>
          <w:tcPr>
            <w:tcW w:w="2366" w:type="pct"/>
            <w:vAlign w:val="center"/>
          </w:tcPr>
          <w:p w:rsidR="005B44AA" w:rsidRDefault="0032695B">
            <w:pPr>
              <w:spacing w:line="240" w:lineRule="auto"/>
              <w:ind w:firstLineChars="0" w:firstLine="0"/>
              <w:jc w:val="center"/>
              <w:rPr>
                <w:sz w:val="24"/>
                <w:szCs w:val="24"/>
              </w:rPr>
            </w:pPr>
            <w:r>
              <w:rPr>
                <w:rFonts w:hint="eastAsia"/>
                <w:sz w:val="24"/>
                <w:szCs w:val="24"/>
              </w:rPr>
              <w:t>新时代中国特色社会主义理论与实践</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9</w:t>
            </w: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sz w:val="24"/>
                <w:szCs w:val="24"/>
              </w:rPr>
            </w:pPr>
            <w:r>
              <w:rPr>
                <w:rFonts w:hint="eastAsia"/>
                <w:sz w:val="24"/>
                <w:szCs w:val="24"/>
              </w:rPr>
              <w:t>自然辩证法概论</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sz w:val="24"/>
                <w:szCs w:val="24"/>
              </w:rPr>
            </w:pPr>
            <w:r>
              <w:rPr>
                <w:rFonts w:hint="eastAsia"/>
                <w:sz w:val="24"/>
                <w:szCs w:val="24"/>
              </w:rPr>
              <w:t>第一外国语</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4</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sz w:val="24"/>
                <w:szCs w:val="24"/>
              </w:rPr>
            </w:pPr>
            <w:r>
              <w:rPr>
                <w:rFonts w:hint="eastAsia"/>
                <w:sz w:val="24"/>
                <w:szCs w:val="24"/>
              </w:rPr>
              <w:t>工程伦理</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sz w:val="24"/>
                <w:szCs w:val="24"/>
              </w:rPr>
            </w:pPr>
            <w:r>
              <w:rPr>
                <w:rFonts w:hint="eastAsia"/>
                <w:sz w:val="24"/>
                <w:szCs w:val="24"/>
              </w:rPr>
              <w:t>体美劳综合素养概论</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专业必修课</w:t>
            </w:r>
          </w:p>
        </w:tc>
        <w:tc>
          <w:tcPr>
            <w:tcW w:w="2366" w:type="pct"/>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hint="eastAsia"/>
                <w:sz w:val="24"/>
                <w:szCs w:val="24"/>
              </w:rPr>
              <w:t>学术道德规范与科技论文写作</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1</w:t>
            </w:r>
          </w:p>
        </w:tc>
        <w:tc>
          <w:tcPr>
            <w:tcW w:w="590"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11</w:t>
            </w: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hint="eastAsia"/>
                <w:sz w:val="24"/>
                <w:szCs w:val="24"/>
              </w:rPr>
              <w:t>学科前沿专题课程</w:t>
            </w:r>
            <w:r w:rsidRPr="00D23488">
              <w:rPr>
                <w:sz w:val="24"/>
                <w:szCs w:val="24"/>
              </w:rPr>
              <w:t></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hint="eastAsia"/>
                <w:sz w:val="24"/>
                <w:szCs w:val="24"/>
              </w:rPr>
              <w:t>大型仪器分析原理</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hint="eastAsia"/>
                <w:sz w:val="24"/>
                <w:szCs w:val="24"/>
              </w:rPr>
              <w:t>高等印刷材料科学与技术</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Pr="00D23488" w:rsidRDefault="0032695B">
            <w:pPr>
              <w:spacing w:line="240" w:lineRule="auto"/>
              <w:ind w:firstLineChars="0" w:firstLine="0"/>
              <w:jc w:val="center"/>
              <w:rPr>
                <w:rFonts w:ascii="宋体" w:hAnsi="宋体" w:cs="宋体"/>
                <w:kern w:val="0"/>
                <w:sz w:val="24"/>
                <w:szCs w:val="24"/>
              </w:rPr>
            </w:pPr>
            <w:r w:rsidRPr="00D23488">
              <w:rPr>
                <w:rFonts w:hint="eastAsia"/>
                <w:sz w:val="24"/>
                <w:szCs w:val="24"/>
              </w:rPr>
              <w:t>现代印刷与包装技术与装备</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现代包装印刷管理</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必修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专业选修课</w:t>
            </w: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专业英语（</w:t>
            </w:r>
            <w:proofErr w:type="gramStart"/>
            <w:r>
              <w:rPr>
                <w:rFonts w:hint="eastAsia"/>
                <w:sz w:val="24"/>
                <w:szCs w:val="24"/>
              </w:rPr>
              <w:t>印包方向</w:t>
            </w:r>
            <w:proofErr w:type="gramEnd"/>
            <w:r>
              <w:rPr>
                <w:rFonts w:hint="eastAsia"/>
                <w:sz w:val="24"/>
                <w:szCs w:val="24"/>
              </w:rPr>
              <w:t>）</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sz w:val="24"/>
                <w:szCs w:val="24"/>
              </w:rPr>
              <w:t>2</w:t>
            </w:r>
          </w:p>
        </w:tc>
        <w:tc>
          <w:tcPr>
            <w:tcW w:w="590"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不低于</w:t>
            </w:r>
            <w:r>
              <w:rPr>
                <w:sz w:val="24"/>
                <w:szCs w:val="24"/>
              </w:rPr>
              <w:t>6</w:t>
            </w: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数值统计分析与计算方法</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颜色科学与技术</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图像处理与机器视觉</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数字印刷技术</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印刷质量检控技术</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特种</w:t>
            </w:r>
            <w:proofErr w:type="gramStart"/>
            <w:r>
              <w:rPr>
                <w:rFonts w:hint="eastAsia"/>
                <w:sz w:val="24"/>
                <w:szCs w:val="24"/>
              </w:rPr>
              <w:t>纸结构</w:t>
            </w:r>
            <w:proofErr w:type="gramEnd"/>
            <w:r>
              <w:rPr>
                <w:rFonts w:hint="eastAsia"/>
                <w:sz w:val="24"/>
                <w:szCs w:val="24"/>
              </w:rPr>
              <w:t>与性能</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第二外语（日或德）</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选修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2</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val="restar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必修环节</w:t>
            </w:r>
          </w:p>
        </w:tc>
        <w:tc>
          <w:tcPr>
            <w:tcW w:w="2366" w:type="pct"/>
            <w:vAlign w:val="center"/>
          </w:tcPr>
          <w:p w:rsidR="005B44AA" w:rsidRDefault="0032695B">
            <w:pPr>
              <w:pStyle w:val="af"/>
              <w:framePr w:hSpace="0" w:wrap="auto" w:vAnchor="margin" w:hAnchor="text" w:xAlign="left" w:yAlign="inline"/>
              <w:rPr>
                <w:szCs w:val="24"/>
              </w:rPr>
            </w:pPr>
            <w:r>
              <w:rPr>
                <w:rFonts w:hint="eastAsia"/>
                <w:szCs w:val="24"/>
              </w:rPr>
              <w:t>文献阅读与开题报告</w:t>
            </w:r>
          </w:p>
        </w:tc>
        <w:tc>
          <w:tcPr>
            <w:tcW w:w="764"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vMerge w:val="restart"/>
            <w:vAlign w:val="center"/>
          </w:tcPr>
          <w:p w:rsidR="005B44AA" w:rsidRDefault="0032695B">
            <w:pPr>
              <w:pStyle w:val="af"/>
              <w:framePr w:hSpace="0" w:wrap="auto" w:vAnchor="margin" w:hAnchor="text" w:xAlign="left" w:yAlign="inline"/>
              <w:rPr>
                <w:rFonts w:ascii="宋体" w:hAnsi="宋体" w:cs="宋体"/>
                <w:kern w:val="0"/>
                <w:szCs w:val="24"/>
              </w:rPr>
            </w:pPr>
            <w:r>
              <w:rPr>
                <w:szCs w:val="24"/>
              </w:rPr>
              <w:t>1</w:t>
            </w:r>
          </w:p>
        </w:tc>
        <w:tc>
          <w:tcPr>
            <w:tcW w:w="590" w:type="pct"/>
            <w:vMerge w:val="restar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2</w:t>
            </w:r>
          </w:p>
        </w:tc>
      </w:tr>
      <w:tr w:rsidR="005B44AA">
        <w:trPr>
          <w:trHeight w:val="340"/>
          <w:jc w:val="center"/>
        </w:trPr>
        <w:tc>
          <w:tcPr>
            <w:tcW w:w="822" w:type="pct"/>
            <w:vMerge/>
            <w:vAlign w:val="center"/>
          </w:tcPr>
          <w:p w:rsidR="005B44AA" w:rsidRDefault="005B44AA">
            <w:pPr>
              <w:pStyle w:val="af"/>
              <w:framePr w:hSpace="0" w:wrap="auto" w:vAnchor="margin" w:hAnchor="text" w:xAlign="left" w:yAlign="inline"/>
              <w:rPr>
                <w:szCs w:val="24"/>
              </w:rPr>
            </w:pPr>
          </w:p>
        </w:tc>
        <w:tc>
          <w:tcPr>
            <w:tcW w:w="2366" w:type="pct"/>
            <w:vAlign w:val="center"/>
          </w:tcPr>
          <w:p w:rsidR="005B44AA" w:rsidRDefault="0032695B">
            <w:pPr>
              <w:pStyle w:val="af"/>
              <w:framePr w:hSpace="0" w:wrap="auto" w:vAnchor="margin" w:hAnchor="text" w:xAlign="left" w:yAlign="inline"/>
              <w:rPr>
                <w:szCs w:val="24"/>
              </w:rPr>
            </w:pPr>
            <w:r>
              <w:rPr>
                <w:rFonts w:hint="eastAsia"/>
                <w:szCs w:val="24"/>
              </w:rPr>
              <w:t>中期考核</w:t>
            </w:r>
          </w:p>
        </w:tc>
        <w:tc>
          <w:tcPr>
            <w:tcW w:w="764"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vMerge/>
            <w:vAlign w:val="center"/>
          </w:tcPr>
          <w:p w:rsidR="005B44AA" w:rsidRDefault="005B44AA">
            <w:pPr>
              <w:pStyle w:val="af"/>
              <w:framePr w:hSpace="0" w:wrap="auto" w:vAnchor="margin" w:hAnchor="text" w:xAlign="left" w:yAlign="inline"/>
              <w:rPr>
                <w:szCs w:val="24"/>
              </w:rPr>
            </w:pPr>
          </w:p>
        </w:tc>
        <w:tc>
          <w:tcPr>
            <w:tcW w:w="590" w:type="pct"/>
            <w:vMerge/>
            <w:vAlign w:val="center"/>
          </w:tcPr>
          <w:p w:rsidR="005B44AA" w:rsidRDefault="005B44AA">
            <w:pPr>
              <w:pStyle w:val="af"/>
              <w:framePr w:hSpace="0" w:wrap="auto" w:vAnchor="margin" w:hAnchor="text" w:xAlign="left" w:yAlign="inline"/>
              <w:rPr>
                <w:szCs w:val="24"/>
              </w:rPr>
            </w:pPr>
          </w:p>
        </w:tc>
      </w:tr>
      <w:tr w:rsidR="005B44AA">
        <w:trPr>
          <w:trHeight w:val="340"/>
          <w:jc w:val="center"/>
        </w:trPr>
        <w:tc>
          <w:tcPr>
            <w:tcW w:w="822" w:type="pct"/>
            <w:vMerge/>
            <w:vAlign w:val="center"/>
          </w:tcPr>
          <w:p w:rsidR="005B44AA" w:rsidRDefault="005B44AA">
            <w:pPr>
              <w:pStyle w:val="af"/>
              <w:framePr w:hSpace="0" w:wrap="auto" w:vAnchor="margin" w:hAnchor="text" w:xAlign="left" w:yAlign="inline"/>
              <w:rPr>
                <w:szCs w:val="24"/>
              </w:rPr>
            </w:pPr>
          </w:p>
        </w:tc>
        <w:tc>
          <w:tcPr>
            <w:tcW w:w="2366" w:type="pct"/>
            <w:vAlign w:val="center"/>
          </w:tcPr>
          <w:p w:rsidR="005B44AA" w:rsidRDefault="0032695B">
            <w:pPr>
              <w:pStyle w:val="af"/>
              <w:framePr w:hSpace="0" w:wrap="auto" w:vAnchor="margin" w:hAnchor="text" w:xAlign="left" w:yAlign="inline"/>
              <w:rPr>
                <w:szCs w:val="24"/>
              </w:rPr>
            </w:pPr>
            <w:r>
              <w:rPr>
                <w:rFonts w:hint="eastAsia"/>
                <w:szCs w:val="24"/>
              </w:rPr>
              <w:t>学术活动</w:t>
            </w:r>
          </w:p>
        </w:tc>
        <w:tc>
          <w:tcPr>
            <w:tcW w:w="764"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必修</w:t>
            </w:r>
          </w:p>
        </w:tc>
        <w:tc>
          <w:tcPr>
            <w:tcW w:w="458"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1</w:t>
            </w:r>
          </w:p>
        </w:tc>
        <w:tc>
          <w:tcPr>
            <w:tcW w:w="590" w:type="pct"/>
            <w:vMerge/>
            <w:vAlign w:val="center"/>
          </w:tcPr>
          <w:p w:rsidR="005B44AA" w:rsidRDefault="005B44AA">
            <w:pPr>
              <w:pStyle w:val="af"/>
              <w:framePr w:hSpace="0" w:wrap="auto" w:vAnchor="margin" w:hAnchor="text" w:xAlign="left" w:yAlign="inline"/>
              <w:rPr>
                <w:szCs w:val="24"/>
              </w:rPr>
            </w:pPr>
          </w:p>
        </w:tc>
      </w:tr>
      <w:tr w:rsidR="005B44AA">
        <w:trPr>
          <w:trHeight w:val="340"/>
          <w:jc w:val="center"/>
        </w:trPr>
        <w:tc>
          <w:tcPr>
            <w:tcW w:w="3188" w:type="pct"/>
            <w:gridSpan w:val="2"/>
            <w:vAlign w:val="center"/>
          </w:tcPr>
          <w:p w:rsidR="005B44AA" w:rsidRDefault="0032695B">
            <w:pPr>
              <w:pStyle w:val="af"/>
              <w:framePr w:hSpace="0" w:wrap="auto" w:vAnchor="margin" w:hAnchor="text" w:xAlign="left" w:yAlign="inline"/>
              <w:rPr>
                <w:szCs w:val="24"/>
              </w:rPr>
            </w:pPr>
            <w:r>
              <w:rPr>
                <w:rFonts w:hint="eastAsia"/>
                <w:szCs w:val="24"/>
              </w:rPr>
              <w:t>专业实践</w:t>
            </w:r>
          </w:p>
        </w:tc>
        <w:tc>
          <w:tcPr>
            <w:tcW w:w="764" w:type="pct"/>
            <w:vAlign w:val="center"/>
          </w:tcPr>
          <w:p w:rsidR="005B44AA" w:rsidRDefault="0032695B">
            <w:pPr>
              <w:pStyle w:val="af"/>
              <w:framePr w:hSpace="0" w:wrap="auto" w:vAnchor="margin" w:hAnchor="text" w:xAlign="left" w:yAlign="inline"/>
              <w:rPr>
                <w:szCs w:val="24"/>
              </w:rPr>
            </w:pPr>
            <w:r>
              <w:rPr>
                <w:rFonts w:hint="eastAsia"/>
                <w:szCs w:val="24"/>
              </w:rPr>
              <w:t>必修</w:t>
            </w:r>
          </w:p>
        </w:tc>
        <w:tc>
          <w:tcPr>
            <w:tcW w:w="458"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6</w:t>
            </w:r>
          </w:p>
        </w:tc>
        <w:tc>
          <w:tcPr>
            <w:tcW w:w="590" w:type="pct"/>
            <w:vAlign w:val="center"/>
          </w:tcPr>
          <w:p w:rsidR="005B44AA" w:rsidRDefault="0032695B">
            <w:pPr>
              <w:pStyle w:val="af"/>
              <w:framePr w:hSpace="0" w:wrap="auto" w:vAnchor="margin" w:hAnchor="text" w:xAlign="left" w:yAlign="inline"/>
              <w:rPr>
                <w:rFonts w:ascii="宋体" w:hAnsi="宋体" w:cs="宋体"/>
                <w:kern w:val="0"/>
                <w:szCs w:val="24"/>
              </w:rPr>
            </w:pPr>
            <w:r>
              <w:rPr>
                <w:rFonts w:hint="eastAsia"/>
                <w:szCs w:val="24"/>
              </w:rPr>
              <w:t>6</w:t>
            </w:r>
          </w:p>
        </w:tc>
      </w:tr>
      <w:tr w:rsidR="005B44AA">
        <w:trPr>
          <w:trHeight w:val="340"/>
          <w:jc w:val="center"/>
        </w:trPr>
        <w:tc>
          <w:tcPr>
            <w:tcW w:w="822"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补修课程</w:t>
            </w: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视觉与色彩学</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val="restart"/>
            <w:vAlign w:val="center"/>
          </w:tcPr>
          <w:p w:rsidR="005B44AA" w:rsidRDefault="0032695B">
            <w:pPr>
              <w:spacing w:line="240" w:lineRule="auto"/>
              <w:ind w:firstLineChars="0" w:firstLine="0"/>
              <w:jc w:val="center"/>
              <w:rPr>
                <w:sz w:val="24"/>
                <w:szCs w:val="24"/>
              </w:rPr>
            </w:pPr>
            <w:r>
              <w:rPr>
                <w:rFonts w:hint="eastAsia"/>
                <w:sz w:val="24"/>
                <w:szCs w:val="24"/>
              </w:rPr>
              <w:t>任选</w:t>
            </w:r>
            <w:r>
              <w:rPr>
                <w:rFonts w:hint="eastAsia"/>
                <w:sz w:val="24"/>
                <w:szCs w:val="24"/>
              </w:rPr>
              <w:t>2</w:t>
            </w:r>
            <w:r>
              <w:rPr>
                <w:rFonts w:hint="eastAsia"/>
                <w:sz w:val="24"/>
                <w:szCs w:val="24"/>
              </w:rPr>
              <w:t>门，不计学分</w:t>
            </w:r>
          </w:p>
        </w:tc>
      </w:tr>
      <w:tr w:rsidR="005B44AA">
        <w:trPr>
          <w:trHeight w:val="340"/>
          <w:jc w:val="center"/>
        </w:trPr>
        <w:tc>
          <w:tcPr>
            <w:tcW w:w="822" w:type="pct"/>
            <w:vMerge/>
            <w:vAlign w:val="center"/>
          </w:tcPr>
          <w:p w:rsidR="005B44AA" w:rsidRDefault="005B44AA">
            <w:pPr>
              <w:spacing w:line="240" w:lineRule="auto"/>
              <w:ind w:firstLineChars="0" w:firstLine="0"/>
              <w:jc w:val="center"/>
              <w:rPr>
                <w:sz w:val="24"/>
                <w:szCs w:val="24"/>
              </w:rPr>
            </w:pPr>
          </w:p>
        </w:tc>
        <w:tc>
          <w:tcPr>
            <w:tcW w:w="2366" w:type="pct"/>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印刷材料与适性</w:t>
            </w:r>
          </w:p>
        </w:tc>
        <w:tc>
          <w:tcPr>
            <w:tcW w:w="764" w:type="pct"/>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vMerge/>
            <w:tcBorders>
              <w:bottom w:val="single" w:sz="4" w:space="0" w:color="auto"/>
            </w:tcBorders>
            <w:vAlign w:val="center"/>
          </w:tcPr>
          <w:p w:rsidR="005B44AA" w:rsidRDefault="005B44AA">
            <w:pPr>
              <w:spacing w:line="240" w:lineRule="auto"/>
              <w:ind w:firstLineChars="0" w:firstLine="0"/>
              <w:jc w:val="center"/>
              <w:rPr>
                <w:sz w:val="24"/>
                <w:szCs w:val="24"/>
              </w:rPr>
            </w:pPr>
          </w:p>
        </w:tc>
        <w:tc>
          <w:tcPr>
            <w:tcW w:w="2366" w:type="pct"/>
            <w:tcBorders>
              <w:bottom w:val="single" w:sz="4" w:space="0" w:color="auto"/>
            </w:tcBorders>
            <w:vAlign w:val="center"/>
          </w:tcPr>
          <w:p w:rsidR="005B44AA" w:rsidRDefault="0032695B">
            <w:pPr>
              <w:spacing w:line="240" w:lineRule="auto"/>
              <w:ind w:firstLineChars="0" w:firstLine="0"/>
              <w:jc w:val="center"/>
              <w:rPr>
                <w:rFonts w:ascii="宋体" w:hAnsi="宋体" w:cs="宋体"/>
                <w:kern w:val="0"/>
                <w:sz w:val="24"/>
                <w:szCs w:val="24"/>
              </w:rPr>
            </w:pPr>
            <w:r>
              <w:rPr>
                <w:rFonts w:hint="eastAsia"/>
                <w:sz w:val="24"/>
                <w:szCs w:val="24"/>
              </w:rPr>
              <w:t>包装材料学</w:t>
            </w:r>
          </w:p>
        </w:tc>
        <w:tc>
          <w:tcPr>
            <w:tcW w:w="764" w:type="pct"/>
            <w:tcBorders>
              <w:bottom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补修</w:t>
            </w:r>
          </w:p>
        </w:tc>
        <w:tc>
          <w:tcPr>
            <w:tcW w:w="458" w:type="pct"/>
            <w:tcBorders>
              <w:bottom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0</w:t>
            </w:r>
          </w:p>
        </w:tc>
        <w:tc>
          <w:tcPr>
            <w:tcW w:w="590" w:type="pct"/>
            <w:vMerge/>
            <w:tcBorders>
              <w:bottom w:val="single" w:sz="4" w:space="0" w:color="auto"/>
            </w:tcBorders>
            <w:vAlign w:val="center"/>
          </w:tcPr>
          <w:p w:rsidR="005B44AA" w:rsidRDefault="005B44AA">
            <w:pPr>
              <w:spacing w:line="240" w:lineRule="auto"/>
              <w:ind w:firstLineChars="0" w:firstLine="0"/>
              <w:jc w:val="center"/>
              <w:rPr>
                <w:sz w:val="24"/>
                <w:szCs w:val="24"/>
              </w:rPr>
            </w:pPr>
          </w:p>
        </w:tc>
      </w:tr>
      <w:tr w:rsidR="005B44AA">
        <w:trPr>
          <w:trHeight w:val="340"/>
          <w:jc w:val="center"/>
        </w:trPr>
        <w:tc>
          <w:tcPr>
            <w:tcW w:w="822" w:type="pct"/>
            <w:tcBorders>
              <w:bottom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课程总学分</w:t>
            </w:r>
          </w:p>
        </w:tc>
        <w:tc>
          <w:tcPr>
            <w:tcW w:w="2366" w:type="pct"/>
            <w:tcBorders>
              <w:bottom w:val="single" w:sz="4" w:space="0" w:color="auto"/>
            </w:tcBorders>
            <w:vAlign w:val="center"/>
          </w:tcPr>
          <w:p w:rsidR="005B44AA" w:rsidRDefault="005B44AA">
            <w:pPr>
              <w:spacing w:line="240" w:lineRule="auto"/>
              <w:ind w:firstLineChars="0" w:firstLine="0"/>
              <w:jc w:val="center"/>
              <w:rPr>
                <w:sz w:val="24"/>
                <w:szCs w:val="24"/>
              </w:rPr>
            </w:pPr>
          </w:p>
        </w:tc>
        <w:tc>
          <w:tcPr>
            <w:tcW w:w="764" w:type="pct"/>
            <w:tcBorders>
              <w:bottom w:val="single" w:sz="4" w:space="0" w:color="auto"/>
            </w:tcBorders>
            <w:vAlign w:val="center"/>
          </w:tcPr>
          <w:p w:rsidR="005B44AA" w:rsidRDefault="005B44AA">
            <w:pPr>
              <w:spacing w:line="240" w:lineRule="auto"/>
              <w:ind w:firstLineChars="0" w:firstLine="0"/>
              <w:jc w:val="center"/>
              <w:rPr>
                <w:sz w:val="24"/>
                <w:szCs w:val="24"/>
              </w:rPr>
            </w:pPr>
          </w:p>
        </w:tc>
        <w:tc>
          <w:tcPr>
            <w:tcW w:w="458" w:type="pct"/>
            <w:tcBorders>
              <w:bottom w:val="single" w:sz="4" w:space="0" w:color="auto"/>
            </w:tcBorders>
            <w:vAlign w:val="center"/>
          </w:tcPr>
          <w:p w:rsidR="005B44AA" w:rsidRDefault="005B44AA">
            <w:pPr>
              <w:spacing w:line="240" w:lineRule="auto"/>
              <w:ind w:firstLineChars="0" w:firstLine="0"/>
              <w:jc w:val="center"/>
              <w:rPr>
                <w:sz w:val="24"/>
                <w:szCs w:val="24"/>
              </w:rPr>
            </w:pPr>
          </w:p>
        </w:tc>
        <w:tc>
          <w:tcPr>
            <w:tcW w:w="590" w:type="pct"/>
            <w:tcBorders>
              <w:bottom w:val="single" w:sz="4" w:space="0" w:color="auto"/>
            </w:tcBorders>
            <w:vAlign w:val="center"/>
          </w:tcPr>
          <w:p w:rsidR="005B44AA" w:rsidRDefault="0032695B">
            <w:pPr>
              <w:spacing w:line="240" w:lineRule="auto"/>
              <w:ind w:firstLineChars="0" w:firstLine="0"/>
              <w:jc w:val="center"/>
              <w:rPr>
                <w:sz w:val="24"/>
                <w:szCs w:val="24"/>
              </w:rPr>
            </w:pPr>
            <w:r>
              <w:rPr>
                <w:rFonts w:hint="eastAsia"/>
                <w:sz w:val="24"/>
                <w:szCs w:val="24"/>
              </w:rPr>
              <w:t>不低于</w:t>
            </w:r>
            <w:r>
              <w:rPr>
                <w:sz w:val="24"/>
                <w:szCs w:val="24"/>
              </w:rPr>
              <w:t>3</w:t>
            </w:r>
            <w:r>
              <w:rPr>
                <w:rFonts w:hint="eastAsia"/>
                <w:sz w:val="24"/>
                <w:szCs w:val="24"/>
              </w:rPr>
              <w:t>4</w:t>
            </w:r>
          </w:p>
        </w:tc>
      </w:tr>
    </w:tbl>
    <w:p w:rsidR="005B44AA" w:rsidRDefault="005B44AA">
      <w:pPr>
        <w:ind w:firstLineChars="0" w:firstLine="0"/>
      </w:pPr>
    </w:p>
    <w:p w:rsidR="005B44AA" w:rsidRDefault="0032695B">
      <w:pPr>
        <w:pStyle w:val="1"/>
      </w:pPr>
      <w:r>
        <w:lastRenderedPageBreak/>
        <w:t>八、</w:t>
      </w:r>
      <w:r>
        <w:rPr>
          <w:rFonts w:hint="eastAsia"/>
        </w:rPr>
        <w:t>科研训练与学位论文</w:t>
      </w:r>
    </w:p>
    <w:p w:rsidR="005B44AA" w:rsidRDefault="0032695B">
      <w:r>
        <w:rPr>
          <w:rFonts w:hint="eastAsia"/>
        </w:rPr>
        <w:t>科研训练与学位论文工作是培养工程类专业学位研究生从事科学研究或独立担负专门技术工作能力的关键环节。研究生应在导师（组）的指导下，明确研究方向，收集材料，开展调查研究，选择适当的课题，开展科技研究训练，并撰写学位论文。学位论文研究工作应与专业实践相结合，时间不少于</w:t>
      </w:r>
      <w:r>
        <w:rPr>
          <w:rFonts w:hint="eastAsia"/>
        </w:rPr>
        <w:t>1</w:t>
      </w:r>
      <w:r>
        <w:rPr>
          <w:rFonts w:hint="eastAsia"/>
        </w:rPr>
        <w:t>年。</w:t>
      </w:r>
    </w:p>
    <w:p w:rsidR="005B44AA" w:rsidRDefault="0032695B">
      <w:r>
        <w:rPr>
          <w:rFonts w:hint="eastAsia"/>
        </w:rPr>
        <w:t>学位论文选题应直接来源于工程实际或者具有明确的工程应用背景，密切结合本专业领域发展方向，具有一定创新性和实际应用价值。</w:t>
      </w:r>
    </w:p>
    <w:p w:rsidR="005B44AA" w:rsidRDefault="0032695B">
      <w:r>
        <w:rPr>
          <w:rFonts w:hint="eastAsia"/>
        </w:rPr>
        <w:t>学位论文要求内容充实，概念清晰，逻辑严谨，结构合理，数据可靠，格式规范，条理清楚，表达准确，具有一定的理论深度和难度，具有独到见解。学位论文正文字数一般不少于</w:t>
      </w:r>
      <w:r>
        <w:rPr>
          <w:rFonts w:hint="eastAsia"/>
        </w:rPr>
        <w:t>3</w:t>
      </w:r>
      <w:r>
        <w:rPr>
          <w:rFonts w:hint="eastAsia"/>
        </w:rPr>
        <w:t>万字。</w:t>
      </w:r>
    </w:p>
    <w:p w:rsidR="005B44AA" w:rsidRDefault="0032695B">
      <w:r>
        <w:rPr>
          <w:rFonts w:hint="eastAsia"/>
        </w:rPr>
        <w:t>学位论文是综合衡量研究生培养质量和学术水平的重要标志，各专业类别（领域）应依据学位授予基本要求对学位论文选题、形式内容、创新性及水平提出具体要求。</w:t>
      </w:r>
    </w:p>
    <w:p w:rsidR="005B44AA" w:rsidRDefault="0032695B">
      <w:pPr>
        <w:pStyle w:val="1"/>
      </w:pPr>
      <w:r>
        <w:rPr>
          <w:rFonts w:hint="eastAsia"/>
        </w:rPr>
        <w:t>九、论文答辩</w:t>
      </w:r>
    </w:p>
    <w:p w:rsidR="005B44AA" w:rsidRDefault="0032695B">
      <w:r>
        <w:rPr>
          <w:rFonts w:hint="eastAsia"/>
        </w:rPr>
        <w:t>专业学位硕士研究生完成培养方案中规定的所有环节，成绩合格，达到个人培养计划制定的学分要求，且符合学校和学部相关规定，可申请论文答辩。论文答辩一般在硕士研究生入学后的第六学期进行。提前及延期毕业的研究生按照《齐鲁工业大学（山东省科学院）研究生提前及延期毕业的暂行规定》（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10</w:t>
      </w:r>
      <w:r>
        <w:rPr>
          <w:rFonts w:hint="eastAsia"/>
        </w:rPr>
        <w:t>号）执行。论文答辩依据《齐鲁工业大学（山东省科学院）硕士学位研究生答辩申请与资格审核实</w:t>
      </w:r>
      <w:r>
        <w:rPr>
          <w:rFonts w:hint="eastAsia"/>
        </w:rPr>
        <w:lastRenderedPageBreak/>
        <w:t>施办法》（齐鲁工大鲁科院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17</w:t>
      </w:r>
      <w:r>
        <w:rPr>
          <w:rFonts w:hint="eastAsia"/>
        </w:rPr>
        <w:t>号）《齐鲁工业大学（山东省科学院）硕士学位授予工作实施细则》（齐鲁工大鲁科院</w:t>
      </w:r>
      <w:proofErr w:type="gramStart"/>
      <w:r>
        <w:rPr>
          <w:rFonts w:hint="eastAsia"/>
        </w:rPr>
        <w:t>研</w:t>
      </w:r>
      <w:proofErr w:type="gramEnd"/>
      <w:r>
        <w:rPr>
          <w:rFonts w:hint="eastAsia"/>
        </w:rPr>
        <w:t>字〔</w:t>
      </w:r>
      <w:r>
        <w:rPr>
          <w:rFonts w:hint="eastAsia"/>
        </w:rPr>
        <w:t>2022</w:t>
      </w:r>
      <w:r>
        <w:rPr>
          <w:rFonts w:hint="eastAsia"/>
        </w:rPr>
        <w:t>〕</w:t>
      </w:r>
      <w:r>
        <w:rPr>
          <w:rFonts w:hint="eastAsia"/>
        </w:rPr>
        <w:t>26</w:t>
      </w:r>
      <w:r>
        <w:rPr>
          <w:rFonts w:hint="eastAsia"/>
        </w:rPr>
        <w:t>号）和其他有关规定进行。</w:t>
      </w:r>
    </w:p>
    <w:p w:rsidR="005B44AA" w:rsidRDefault="005B44AA"/>
    <w:p w:rsidR="005B44AA" w:rsidRDefault="005B44AA"/>
    <w:p w:rsidR="005B44AA" w:rsidRDefault="005B44AA">
      <w:bookmarkStart w:id="6" w:name="_GoBack"/>
      <w:bookmarkEnd w:id="6"/>
    </w:p>
    <w:p w:rsidR="005B44AA" w:rsidRDefault="005B44AA"/>
    <w:sectPr w:rsidR="005B44A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56" w:rsidRDefault="00420156">
      <w:pPr>
        <w:spacing w:line="240" w:lineRule="auto"/>
      </w:pPr>
      <w:r>
        <w:separator/>
      </w:r>
    </w:p>
  </w:endnote>
  <w:endnote w:type="continuationSeparator" w:id="0">
    <w:p w:rsidR="00420156" w:rsidRDefault="00420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32695B">
    <w:pPr>
      <w:pStyle w:val="a6"/>
      <w:ind w:firstLine="360"/>
      <w:rPr>
        <w:rStyle w:val="ac"/>
      </w:rPr>
    </w:pPr>
    <w:r>
      <w:rPr>
        <w:rStyle w:val="ac"/>
      </w:rPr>
      <w:fldChar w:fldCharType="begin"/>
    </w:r>
    <w:r>
      <w:rPr>
        <w:rStyle w:val="ac"/>
      </w:rPr>
      <w:instrText xml:space="preserve">PAGE  </w:instrText>
    </w:r>
    <w:r>
      <w:rPr>
        <w:rStyle w:val="ac"/>
      </w:rPr>
      <w:fldChar w:fldCharType="end"/>
    </w:r>
  </w:p>
  <w:p w:rsidR="005B44AA" w:rsidRDefault="005B44A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5B44AA">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5B44A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56" w:rsidRDefault="00420156">
      <w:r>
        <w:separator/>
      </w:r>
    </w:p>
  </w:footnote>
  <w:footnote w:type="continuationSeparator" w:id="0">
    <w:p w:rsidR="00420156" w:rsidRDefault="0042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5B44A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5B44AA">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AA" w:rsidRDefault="005B44AA">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TgzZTVhZWJiNWNmMjk4YjBlMWUzMWUxMjQ5MDAifQ=="/>
  </w:docVars>
  <w:rsids>
    <w:rsidRoot w:val="00CB5F89"/>
    <w:rsid w:val="0001497C"/>
    <w:rsid w:val="000307CC"/>
    <w:rsid w:val="00030D2D"/>
    <w:rsid w:val="00031070"/>
    <w:rsid w:val="000312DD"/>
    <w:rsid w:val="00031681"/>
    <w:rsid w:val="0004205C"/>
    <w:rsid w:val="000428B9"/>
    <w:rsid w:val="00052833"/>
    <w:rsid w:val="00055F48"/>
    <w:rsid w:val="00065369"/>
    <w:rsid w:val="00067342"/>
    <w:rsid w:val="00085F45"/>
    <w:rsid w:val="00086A28"/>
    <w:rsid w:val="00093D64"/>
    <w:rsid w:val="00095458"/>
    <w:rsid w:val="000957E6"/>
    <w:rsid w:val="00095FE1"/>
    <w:rsid w:val="00096256"/>
    <w:rsid w:val="00096BFD"/>
    <w:rsid w:val="000A2981"/>
    <w:rsid w:val="000A3E92"/>
    <w:rsid w:val="000A404D"/>
    <w:rsid w:val="000B4CF7"/>
    <w:rsid w:val="000B6B8E"/>
    <w:rsid w:val="000C2E00"/>
    <w:rsid w:val="000D3110"/>
    <w:rsid w:val="000D536B"/>
    <w:rsid w:val="000E0E3F"/>
    <w:rsid w:val="000E13FE"/>
    <w:rsid w:val="000E64A9"/>
    <w:rsid w:val="000F3D17"/>
    <w:rsid w:val="00103F88"/>
    <w:rsid w:val="00106671"/>
    <w:rsid w:val="00106D6E"/>
    <w:rsid w:val="00111DC9"/>
    <w:rsid w:val="00114C09"/>
    <w:rsid w:val="00122FAB"/>
    <w:rsid w:val="001249BB"/>
    <w:rsid w:val="00124D23"/>
    <w:rsid w:val="00126D96"/>
    <w:rsid w:val="00132126"/>
    <w:rsid w:val="00134C18"/>
    <w:rsid w:val="00136184"/>
    <w:rsid w:val="0014070E"/>
    <w:rsid w:val="001460C7"/>
    <w:rsid w:val="001475B5"/>
    <w:rsid w:val="00147AC0"/>
    <w:rsid w:val="001536CE"/>
    <w:rsid w:val="00155F35"/>
    <w:rsid w:val="001759F8"/>
    <w:rsid w:val="00177298"/>
    <w:rsid w:val="001857F1"/>
    <w:rsid w:val="001877AF"/>
    <w:rsid w:val="001946DB"/>
    <w:rsid w:val="001948E7"/>
    <w:rsid w:val="001954C8"/>
    <w:rsid w:val="001958CB"/>
    <w:rsid w:val="00196826"/>
    <w:rsid w:val="001A123F"/>
    <w:rsid w:val="001A1E62"/>
    <w:rsid w:val="001A7644"/>
    <w:rsid w:val="001B33AD"/>
    <w:rsid w:val="001B6367"/>
    <w:rsid w:val="001B7E3E"/>
    <w:rsid w:val="001C07ED"/>
    <w:rsid w:val="001C14BC"/>
    <w:rsid w:val="001C25AD"/>
    <w:rsid w:val="001C2E59"/>
    <w:rsid w:val="001C3AE3"/>
    <w:rsid w:val="001C4955"/>
    <w:rsid w:val="001C4A82"/>
    <w:rsid w:val="001C757F"/>
    <w:rsid w:val="001E2C5A"/>
    <w:rsid w:val="001E44FB"/>
    <w:rsid w:val="001F384E"/>
    <w:rsid w:val="00203EDC"/>
    <w:rsid w:val="00206505"/>
    <w:rsid w:val="00206E2E"/>
    <w:rsid w:val="0021129E"/>
    <w:rsid w:val="0021243C"/>
    <w:rsid w:val="00212814"/>
    <w:rsid w:val="00213356"/>
    <w:rsid w:val="00214F29"/>
    <w:rsid w:val="0022045B"/>
    <w:rsid w:val="002254CF"/>
    <w:rsid w:val="0022728B"/>
    <w:rsid w:val="00232C31"/>
    <w:rsid w:val="00232FCA"/>
    <w:rsid w:val="00234A5E"/>
    <w:rsid w:val="00235B43"/>
    <w:rsid w:val="00242FF0"/>
    <w:rsid w:val="00243E0F"/>
    <w:rsid w:val="00252A87"/>
    <w:rsid w:val="00253D72"/>
    <w:rsid w:val="00264E4C"/>
    <w:rsid w:val="00267951"/>
    <w:rsid w:val="00270CBC"/>
    <w:rsid w:val="002711CC"/>
    <w:rsid w:val="00272636"/>
    <w:rsid w:val="00273936"/>
    <w:rsid w:val="002744C6"/>
    <w:rsid w:val="0027484F"/>
    <w:rsid w:val="00274C9A"/>
    <w:rsid w:val="002752DB"/>
    <w:rsid w:val="00276E0B"/>
    <w:rsid w:val="00280CD9"/>
    <w:rsid w:val="00282D14"/>
    <w:rsid w:val="00284254"/>
    <w:rsid w:val="0028567B"/>
    <w:rsid w:val="0029555B"/>
    <w:rsid w:val="002969A7"/>
    <w:rsid w:val="00297291"/>
    <w:rsid w:val="002A2BD0"/>
    <w:rsid w:val="002A4867"/>
    <w:rsid w:val="002A7EEA"/>
    <w:rsid w:val="002B0912"/>
    <w:rsid w:val="002B1DA6"/>
    <w:rsid w:val="002B3701"/>
    <w:rsid w:val="002C5009"/>
    <w:rsid w:val="002E1BEB"/>
    <w:rsid w:val="002E6794"/>
    <w:rsid w:val="002E6B81"/>
    <w:rsid w:val="002E7AF5"/>
    <w:rsid w:val="002E7FF9"/>
    <w:rsid w:val="00315653"/>
    <w:rsid w:val="00320B98"/>
    <w:rsid w:val="0032695B"/>
    <w:rsid w:val="00327DB9"/>
    <w:rsid w:val="0033196F"/>
    <w:rsid w:val="003328E9"/>
    <w:rsid w:val="00334B36"/>
    <w:rsid w:val="003408A8"/>
    <w:rsid w:val="00341C83"/>
    <w:rsid w:val="00344F4A"/>
    <w:rsid w:val="00351BF0"/>
    <w:rsid w:val="003567D0"/>
    <w:rsid w:val="00356861"/>
    <w:rsid w:val="003609F0"/>
    <w:rsid w:val="00361344"/>
    <w:rsid w:val="00367046"/>
    <w:rsid w:val="0037092B"/>
    <w:rsid w:val="00370A4C"/>
    <w:rsid w:val="003713E2"/>
    <w:rsid w:val="0038074A"/>
    <w:rsid w:val="00391B05"/>
    <w:rsid w:val="003922CF"/>
    <w:rsid w:val="003928C1"/>
    <w:rsid w:val="003966FF"/>
    <w:rsid w:val="003A5BBB"/>
    <w:rsid w:val="003B44F0"/>
    <w:rsid w:val="003B5F58"/>
    <w:rsid w:val="003B6746"/>
    <w:rsid w:val="003C3EE0"/>
    <w:rsid w:val="003C6971"/>
    <w:rsid w:val="003D3757"/>
    <w:rsid w:val="003D4268"/>
    <w:rsid w:val="003D59F7"/>
    <w:rsid w:val="003E51A2"/>
    <w:rsid w:val="003E5EAD"/>
    <w:rsid w:val="003E74F4"/>
    <w:rsid w:val="003F080B"/>
    <w:rsid w:val="003F0DC6"/>
    <w:rsid w:val="003F14DC"/>
    <w:rsid w:val="003F43F8"/>
    <w:rsid w:val="003F5F6F"/>
    <w:rsid w:val="003F744A"/>
    <w:rsid w:val="00402466"/>
    <w:rsid w:val="0041288B"/>
    <w:rsid w:val="00414FCA"/>
    <w:rsid w:val="00420156"/>
    <w:rsid w:val="00422704"/>
    <w:rsid w:val="00427688"/>
    <w:rsid w:val="00431849"/>
    <w:rsid w:val="00432971"/>
    <w:rsid w:val="00437412"/>
    <w:rsid w:val="00443984"/>
    <w:rsid w:val="00444DCF"/>
    <w:rsid w:val="004478B9"/>
    <w:rsid w:val="004508E3"/>
    <w:rsid w:val="00451D28"/>
    <w:rsid w:val="004521FB"/>
    <w:rsid w:val="00472A9E"/>
    <w:rsid w:val="00472B7D"/>
    <w:rsid w:val="00472D5E"/>
    <w:rsid w:val="00475033"/>
    <w:rsid w:val="0048067F"/>
    <w:rsid w:val="00483CEB"/>
    <w:rsid w:val="0049751C"/>
    <w:rsid w:val="00497A5D"/>
    <w:rsid w:val="004A01E9"/>
    <w:rsid w:val="004A043E"/>
    <w:rsid w:val="004B1162"/>
    <w:rsid w:val="004C2BC8"/>
    <w:rsid w:val="004C470D"/>
    <w:rsid w:val="004D0AD4"/>
    <w:rsid w:val="004D3958"/>
    <w:rsid w:val="004D3B1A"/>
    <w:rsid w:val="004E183B"/>
    <w:rsid w:val="004E1F02"/>
    <w:rsid w:val="004E5E6D"/>
    <w:rsid w:val="004E73DC"/>
    <w:rsid w:val="00502714"/>
    <w:rsid w:val="00503437"/>
    <w:rsid w:val="00505F30"/>
    <w:rsid w:val="00506174"/>
    <w:rsid w:val="00521024"/>
    <w:rsid w:val="005213A3"/>
    <w:rsid w:val="005317F4"/>
    <w:rsid w:val="0054064F"/>
    <w:rsid w:val="00544C33"/>
    <w:rsid w:val="00546798"/>
    <w:rsid w:val="00550464"/>
    <w:rsid w:val="00551384"/>
    <w:rsid w:val="00556713"/>
    <w:rsid w:val="00561BA3"/>
    <w:rsid w:val="005625EA"/>
    <w:rsid w:val="0056389E"/>
    <w:rsid w:val="00567AC0"/>
    <w:rsid w:val="00570E82"/>
    <w:rsid w:val="00571FF6"/>
    <w:rsid w:val="005778F4"/>
    <w:rsid w:val="00581EB0"/>
    <w:rsid w:val="0059079A"/>
    <w:rsid w:val="005A2807"/>
    <w:rsid w:val="005B00FD"/>
    <w:rsid w:val="005B11F8"/>
    <w:rsid w:val="005B44AA"/>
    <w:rsid w:val="005B66B4"/>
    <w:rsid w:val="005C1D92"/>
    <w:rsid w:val="005C4EED"/>
    <w:rsid w:val="005C5139"/>
    <w:rsid w:val="005C5F4B"/>
    <w:rsid w:val="005C6A4F"/>
    <w:rsid w:val="005C7544"/>
    <w:rsid w:val="005C773B"/>
    <w:rsid w:val="005D691A"/>
    <w:rsid w:val="005D699F"/>
    <w:rsid w:val="005E2C15"/>
    <w:rsid w:val="005E4C22"/>
    <w:rsid w:val="005F0F28"/>
    <w:rsid w:val="005F46A9"/>
    <w:rsid w:val="00601040"/>
    <w:rsid w:val="00606162"/>
    <w:rsid w:val="006110C7"/>
    <w:rsid w:val="00612272"/>
    <w:rsid w:val="006337F4"/>
    <w:rsid w:val="00636949"/>
    <w:rsid w:val="00636FD3"/>
    <w:rsid w:val="00640A10"/>
    <w:rsid w:val="00643099"/>
    <w:rsid w:val="006447F7"/>
    <w:rsid w:val="0065121A"/>
    <w:rsid w:val="006518DE"/>
    <w:rsid w:val="00653F0C"/>
    <w:rsid w:val="006601AE"/>
    <w:rsid w:val="00673D71"/>
    <w:rsid w:val="00675506"/>
    <w:rsid w:val="006771F3"/>
    <w:rsid w:val="00683261"/>
    <w:rsid w:val="00690808"/>
    <w:rsid w:val="0069579C"/>
    <w:rsid w:val="00696091"/>
    <w:rsid w:val="00697934"/>
    <w:rsid w:val="006A6DC9"/>
    <w:rsid w:val="006B2F26"/>
    <w:rsid w:val="006C2EBD"/>
    <w:rsid w:val="006C51AD"/>
    <w:rsid w:val="006C57F7"/>
    <w:rsid w:val="006D2FCF"/>
    <w:rsid w:val="006D3E7F"/>
    <w:rsid w:val="006E192E"/>
    <w:rsid w:val="006E2CEC"/>
    <w:rsid w:val="006E57D9"/>
    <w:rsid w:val="006F4423"/>
    <w:rsid w:val="006F74AD"/>
    <w:rsid w:val="00704D7A"/>
    <w:rsid w:val="00706849"/>
    <w:rsid w:val="00722879"/>
    <w:rsid w:val="00725B16"/>
    <w:rsid w:val="007273E8"/>
    <w:rsid w:val="0073639D"/>
    <w:rsid w:val="0073676D"/>
    <w:rsid w:val="00743DEE"/>
    <w:rsid w:val="007463F3"/>
    <w:rsid w:val="00747139"/>
    <w:rsid w:val="00751E4D"/>
    <w:rsid w:val="00765233"/>
    <w:rsid w:val="007717F2"/>
    <w:rsid w:val="0077709B"/>
    <w:rsid w:val="00777D07"/>
    <w:rsid w:val="00780674"/>
    <w:rsid w:val="00782C31"/>
    <w:rsid w:val="00783C1D"/>
    <w:rsid w:val="00787341"/>
    <w:rsid w:val="00787597"/>
    <w:rsid w:val="00791010"/>
    <w:rsid w:val="007A1681"/>
    <w:rsid w:val="007A2A03"/>
    <w:rsid w:val="007A529D"/>
    <w:rsid w:val="007B3A6E"/>
    <w:rsid w:val="007B3BD8"/>
    <w:rsid w:val="007B4041"/>
    <w:rsid w:val="007B5C9C"/>
    <w:rsid w:val="007B6039"/>
    <w:rsid w:val="007B663F"/>
    <w:rsid w:val="007B66D0"/>
    <w:rsid w:val="007B7084"/>
    <w:rsid w:val="007B7DB6"/>
    <w:rsid w:val="007C135C"/>
    <w:rsid w:val="007C6982"/>
    <w:rsid w:val="007C70D1"/>
    <w:rsid w:val="007D2AA8"/>
    <w:rsid w:val="007E0960"/>
    <w:rsid w:val="007E3439"/>
    <w:rsid w:val="007E441F"/>
    <w:rsid w:val="007E6FEF"/>
    <w:rsid w:val="007F13A2"/>
    <w:rsid w:val="00805707"/>
    <w:rsid w:val="0080614D"/>
    <w:rsid w:val="00813FE0"/>
    <w:rsid w:val="00815417"/>
    <w:rsid w:val="00825A09"/>
    <w:rsid w:val="008354B8"/>
    <w:rsid w:val="0084119A"/>
    <w:rsid w:val="00843040"/>
    <w:rsid w:val="0084313F"/>
    <w:rsid w:val="0084317F"/>
    <w:rsid w:val="00844922"/>
    <w:rsid w:val="00846D26"/>
    <w:rsid w:val="00850615"/>
    <w:rsid w:val="00852E93"/>
    <w:rsid w:val="00855CF0"/>
    <w:rsid w:val="0085753C"/>
    <w:rsid w:val="008609B6"/>
    <w:rsid w:val="00861AF5"/>
    <w:rsid w:val="00861E99"/>
    <w:rsid w:val="008745FE"/>
    <w:rsid w:val="00877A7E"/>
    <w:rsid w:val="0088214E"/>
    <w:rsid w:val="00893AAA"/>
    <w:rsid w:val="008A0394"/>
    <w:rsid w:val="008A276E"/>
    <w:rsid w:val="008B1811"/>
    <w:rsid w:val="008B53BE"/>
    <w:rsid w:val="008C3B8D"/>
    <w:rsid w:val="008C3E2A"/>
    <w:rsid w:val="008C4D79"/>
    <w:rsid w:val="008D1091"/>
    <w:rsid w:val="008D18AA"/>
    <w:rsid w:val="008D2011"/>
    <w:rsid w:val="008D3B8A"/>
    <w:rsid w:val="008E09D0"/>
    <w:rsid w:val="008E3E0A"/>
    <w:rsid w:val="008F6122"/>
    <w:rsid w:val="00901358"/>
    <w:rsid w:val="00911F90"/>
    <w:rsid w:val="009123E3"/>
    <w:rsid w:val="00913801"/>
    <w:rsid w:val="00914B93"/>
    <w:rsid w:val="00920E98"/>
    <w:rsid w:val="00921186"/>
    <w:rsid w:val="00921453"/>
    <w:rsid w:val="00924437"/>
    <w:rsid w:val="009262C8"/>
    <w:rsid w:val="00936AFC"/>
    <w:rsid w:val="00953B1D"/>
    <w:rsid w:val="00953CE8"/>
    <w:rsid w:val="009563FC"/>
    <w:rsid w:val="00963588"/>
    <w:rsid w:val="00963662"/>
    <w:rsid w:val="009723FE"/>
    <w:rsid w:val="00972645"/>
    <w:rsid w:val="00974EBC"/>
    <w:rsid w:val="00977250"/>
    <w:rsid w:val="0097726F"/>
    <w:rsid w:val="00983CC6"/>
    <w:rsid w:val="00985272"/>
    <w:rsid w:val="00985A5B"/>
    <w:rsid w:val="00990154"/>
    <w:rsid w:val="00991987"/>
    <w:rsid w:val="00991B6F"/>
    <w:rsid w:val="009921C8"/>
    <w:rsid w:val="00992AF1"/>
    <w:rsid w:val="00996EB5"/>
    <w:rsid w:val="009A5236"/>
    <w:rsid w:val="009C2F6B"/>
    <w:rsid w:val="009D2BE4"/>
    <w:rsid w:val="009E6000"/>
    <w:rsid w:val="009F4039"/>
    <w:rsid w:val="00A024A9"/>
    <w:rsid w:val="00A024B0"/>
    <w:rsid w:val="00A02DC5"/>
    <w:rsid w:val="00A060C7"/>
    <w:rsid w:val="00A14F22"/>
    <w:rsid w:val="00A21387"/>
    <w:rsid w:val="00A31019"/>
    <w:rsid w:val="00A40824"/>
    <w:rsid w:val="00A479DF"/>
    <w:rsid w:val="00A618B0"/>
    <w:rsid w:val="00A66C10"/>
    <w:rsid w:val="00A71291"/>
    <w:rsid w:val="00A71E1C"/>
    <w:rsid w:val="00A72464"/>
    <w:rsid w:val="00A72CE9"/>
    <w:rsid w:val="00A73D11"/>
    <w:rsid w:val="00A84C61"/>
    <w:rsid w:val="00A927FA"/>
    <w:rsid w:val="00AA2DE9"/>
    <w:rsid w:val="00AA31B5"/>
    <w:rsid w:val="00AA7FA0"/>
    <w:rsid w:val="00AB2F3D"/>
    <w:rsid w:val="00AB42FD"/>
    <w:rsid w:val="00AB505E"/>
    <w:rsid w:val="00AC1004"/>
    <w:rsid w:val="00AC2BDC"/>
    <w:rsid w:val="00AC6B15"/>
    <w:rsid w:val="00AD3154"/>
    <w:rsid w:val="00AD380C"/>
    <w:rsid w:val="00AD5B87"/>
    <w:rsid w:val="00AE0548"/>
    <w:rsid w:val="00AF7AC4"/>
    <w:rsid w:val="00B004EE"/>
    <w:rsid w:val="00B029CF"/>
    <w:rsid w:val="00B02F43"/>
    <w:rsid w:val="00B12773"/>
    <w:rsid w:val="00B1798F"/>
    <w:rsid w:val="00B2476F"/>
    <w:rsid w:val="00B25CD6"/>
    <w:rsid w:val="00B27C50"/>
    <w:rsid w:val="00B3389C"/>
    <w:rsid w:val="00B34844"/>
    <w:rsid w:val="00B4409D"/>
    <w:rsid w:val="00B46D3F"/>
    <w:rsid w:val="00B479E6"/>
    <w:rsid w:val="00B50E8A"/>
    <w:rsid w:val="00B57560"/>
    <w:rsid w:val="00B6014D"/>
    <w:rsid w:val="00B60469"/>
    <w:rsid w:val="00B616B8"/>
    <w:rsid w:val="00B62041"/>
    <w:rsid w:val="00B63DF5"/>
    <w:rsid w:val="00B70568"/>
    <w:rsid w:val="00B76A25"/>
    <w:rsid w:val="00B812E2"/>
    <w:rsid w:val="00B85794"/>
    <w:rsid w:val="00B876C2"/>
    <w:rsid w:val="00B93FBE"/>
    <w:rsid w:val="00B95AFB"/>
    <w:rsid w:val="00BA0DB9"/>
    <w:rsid w:val="00BA3CF5"/>
    <w:rsid w:val="00BB1B29"/>
    <w:rsid w:val="00BB1C0F"/>
    <w:rsid w:val="00BB338E"/>
    <w:rsid w:val="00BB3A26"/>
    <w:rsid w:val="00BB4A86"/>
    <w:rsid w:val="00BB5162"/>
    <w:rsid w:val="00BC427E"/>
    <w:rsid w:val="00BD0C01"/>
    <w:rsid w:val="00BD24F2"/>
    <w:rsid w:val="00BD317D"/>
    <w:rsid w:val="00BD39D2"/>
    <w:rsid w:val="00BD3A68"/>
    <w:rsid w:val="00BE55EB"/>
    <w:rsid w:val="00BF5CB3"/>
    <w:rsid w:val="00BF602D"/>
    <w:rsid w:val="00BF7B8A"/>
    <w:rsid w:val="00C03D9E"/>
    <w:rsid w:val="00C06869"/>
    <w:rsid w:val="00C0701B"/>
    <w:rsid w:val="00C10AA6"/>
    <w:rsid w:val="00C269F1"/>
    <w:rsid w:val="00C27359"/>
    <w:rsid w:val="00C312EB"/>
    <w:rsid w:val="00C35A0C"/>
    <w:rsid w:val="00C37C51"/>
    <w:rsid w:val="00C4032A"/>
    <w:rsid w:val="00C40954"/>
    <w:rsid w:val="00C45A71"/>
    <w:rsid w:val="00C46047"/>
    <w:rsid w:val="00C51727"/>
    <w:rsid w:val="00C51B37"/>
    <w:rsid w:val="00C540D6"/>
    <w:rsid w:val="00C54BA2"/>
    <w:rsid w:val="00C633D7"/>
    <w:rsid w:val="00C66152"/>
    <w:rsid w:val="00C66825"/>
    <w:rsid w:val="00C70D68"/>
    <w:rsid w:val="00C70DF5"/>
    <w:rsid w:val="00C7269B"/>
    <w:rsid w:val="00C804CC"/>
    <w:rsid w:val="00C814F7"/>
    <w:rsid w:val="00C85113"/>
    <w:rsid w:val="00C85D51"/>
    <w:rsid w:val="00C871E6"/>
    <w:rsid w:val="00CA33B0"/>
    <w:rsid w:val="00CA3581"/>
    <w:rsid w:val="00CA7791"/>
    <w:rsid w:val="00CA7D92"/>
    <w:rsid w:val="00CB3822"/>
    <w:rsid w:val="00CB4B56"/>
    <w:rsid w:val="00CB5037"/>
    <w:rsid w:val="00CB5F89"/>
    <w:rsid w:val="00CC028E"/>
    <w:rsid w:val="00CC358E"/>
    <w:rsid w:val="00CC3B04"/>
    <w:rsid w:val="00CD0708"/>
    <w:rsid w:val="00CD3A75"/>
    <w:rsid w:val="00CD512E"/>
    <w:rsid w:val="00CD51AC"/>
    <w:rsid w:val="00CD51E3"/>
    <w:rsid w:val="00CD663D"/>
    <w:rsid w:val="00CE47B1"/>
    <w:rsid w:val="00CE7514"/>
    <w:rsid w:val="00CE78B2"/>
    <w:rsid w:val="00CF32A0"/>
    <w:rsid w:val="00CF79FC"/>
    <w:rsid w:val="00D0332E"/>
    <w:rsid w:val="00D108D6"/>
    <w:rsid w:val="00D17086"/>
    <w:rsid w:val="00D23488"/>
    <w:rsid w:val="00D2639E"/>
    <w:rsid w:val="00D37C6A"/>
    <w:rsid w:val="00D417A5"/>
    <w:rsid w:val="00D44C10"/>
    <w:rsid w:val="00D552C1"/>
    <w:rsid w:val="00D562EC"/>
    <w:rsid w:val="00D6349B"/>
    <w:rsid w:val="00D641AB"/>
    <w:rsid w:val="00D6592B"/>
    <w:rsid w:val="00D66DA2"/>
    <w:rsid w:val="00D7457C"/>
    <w:rsid w:val="00D75DB0"/>
    <w:rsid w:val="00D77B9C"/>
    <w:rsid w:val="00D860C0"/>
    <w:rsid w:val="00D90246"/>
    <w:rsid w:val="00D9167B"/>
    <w:rsid w:val="00DB6FCE"/>
    <w:rsid w:val="00DC3ACA"/>
    <w:rsid w:val="00DC41C5"/>
    <w:rsid w:val="00DC6399"/>
    <w:rsid w:val="00DC7657"/>
    <w:rsid w:val="00DD0CD9"/>
    <w:rsid w:val="00DD1198"/>
    <w:rsid w:val="00DD1B3F"/>
    <w:rsid w:val="00DD2F80"/>
    <w:rsid w:val="00DE33BA"/>
    <w:rsid w:val="00DE7E9F"/>
    <w:rsid w:val="00DF1137"/>
    <w:rsid w:val="00DF51AA"/>
    <w:rsid w:val="00E02545"/>
    <w:rsid w:val="00E12EEE"/>
    <w:rsid w:val="00E13E1B"/>
    <w:rsid w:val="00E16308"/>
    <w:rsid w:val="00E23C48"/>
    <w:rsid w:val="00E30631"/>
    <w:rsid w:val="00E457A0"/>
    <w:rsid w:val="00E54984"/>
    <w:rsid w:val="00E56B95"/>
    <w:rsid w:val="00E602DD"/>
    <w:rsid w:val="00E61309"/>
    <w:rsid w:val="00E7247D"/>
    <w:rsid w:val="00E76974"/>
    <w:rsid w:val="00E774FC"/>
    <w:rsid w:val="00E81A29"/>
    <w:rsid w:val="00E82470"/>
    <w:rsid w:val="00E857D1"/>
    <w:rsid w:val="00E870E3"/>
    <w:rsid w:val="00E875E8"/>
    <w:rsid w:val="00E90874"/>
    <w:rsid w:val="00E9123C"/>
    <w:rsid w:val="00E91CF3"/>
    <w:rsid w:val="00E93903"/>
    <w:rsid w:val="00EA746D"/>
    <w:rsid w:val="00EC0213"/>
    <w:rsid w:val="00EC169F"/>
    <w:rsid w:val="00EC1717"/>
    <w:rsid w:val="00EC22E9"/>
    <w:rsid w:val="00ED2299"/>
    <w:rsid w:val="00ED2DF9"/>
    <w:rsid w:val="00EE7DF9"/>
    <w:rsid w:val="00EF0195"/>
    <w:rsid w:val="00EF0291"/>
    <w:rsid w:val="00EF12C4"/>
    <w:rsid w:val="00EF348F"/>
    <w:rsid w:val="00F02CE5"/>
    <w:rsid w:val="00F03071"/>
    <w:rsid w:val="00F05664"/>
    <w:rsid w:val="00F10989"/>
    <w:rsid w:val="00F10CDA"/>
    <w:rsid w:val="00F1582B"/>
    <w:rsid w:val="00F17507"/>
    <w:rsid w:val="00F17D30"/>
    <w:rsid w:val="00F20157"/>
    <w:rsid w:val="00F229EC"/>
    <w:rsid w:val="00F25844"/>
    <w:rsid w:val="00F312C3"/>
    <w:rsid w:val="00F32A5D"/>
    <w:rsid w:val="00F3451A"/>
    <w:rsid w:val="00F375A9"/>
    <w:rsid w:val="00F42FF2"/>
    <w:rsid w:val="00F44307"/>
    <w:rsid w:val="00F4740A"/>
    <w:rsid w:val="00F53354"/>
    <w:rsid w:val="00F5339E"/>
    <w:rsid w:val="00F70878"/>
    <w:rsid w:val="00F903A9"/>
    <w:rsid w:val="00F922C7"/>
    <w:rsid w:val="00F95176"/>
    <w:rsid w:val="00F968AF"/>
    <w:rsid w:val="00F96E54"/>
    <w:rsid w:val="00FA1153"/>
    <w:rsid w:val="00FA3250"/>
    <w:rsid w:val="00FA5C72"/>
    <w:rsid w:val="00FB1FF0"/>
    <w:rsid w:val="00FB2C6A"/>
    <w:rsid w:val="00FD10B8"/>
    <w:rsid w:val="00FD4AFE"/>
    <w:rsid w:val="00FF243D"/>
    <w:rsid w:val="00FF5715"/>
    <w:rsid w:val="00FF6C4E"/>
    <w:rsid w:val="0E303CB1"/>
    <w:rsid w:val="280D382B"/>
    <w:rsid w:val="2A7732EE"/>
    <w:rsid w:val="34BB3952"/>
    <w:rsid w:val="51EF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F7F8B-A454-418B-A4EF-C4BCBC44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560"/>
      <w:jc w:val="both"/>
    </w:pPr>
    <w:rPr>
      <w:rFonts w:ascii="Times New Roman" w:eastAsia="宋体" w:hAnsi="Times New Roman" w:cs="Times New Roman"/>
      <w:kern w:val="2"/>
      <w:sz w:val="28"/>
      <w:szCs w:val="28"/>
    </w:rPr>
  </w:style>
  <w:style w:type="paragraph" w:styleId="1">
    <w:name w:val="heading 1"/>
    <w:basedOn w:val="a"/>
    <w:next w:val="a"/>
    <w:link w:val="1Char"/>
    <w:qFormat/>
    <w:pPr>
      <w:keepNext/>
      <w:keepLines/>
      <w:spacing w:beforeLines="50" w:before="156" w:afterLines="50" w:after="156" w:line="240" w:lineRule="auto"/>
      <w:ind w:firstLineChars="0" w:firstLine="0"/>
      <w:outlineLvl w:val="0"/>
    </w:pPr>
    <w:rPr>
      <w:b/>
      <w:bCs/>
      <w:kern w:val="44"/>
      <w:szCs w:val="44"/>
    </w:rPr>
  </w:style>
  <w:style w:type="paragraph" w:styleId="2">
    <w:name w:val="heading 2"/>
    <w:basedOn w:val="a"/>
    <w:next w:val="a"/>
    <w:link w:val="2Char"/>
    <w:qFormat/>
    <w:pPr>
      <w:keepNext/>
      <w:keepLines/>
      <w:spacing w:beforeLines="50" w:before="156" w:afterLines="50" w:after="156" w:line="240" w:lineRule="auto"/>
      <w:ind w:firstLineChars="0" w:firstLine="0"/>
      <w:outlineLvl w:val="1"/>
    </w:pPr>
    <w:rPr>
      <w:b/>
      <w:bCs/>
      <w:szCs w:val="32"/>
    </w:rPr>
  </w:style>
  <w:style w:type="paragraph" w:styleId="3">
    <w:name w:val="heading 3"/>
    <w:basedOn w:val="a"/>
    <w:next w:val="a"/>
    <w:link w:val="3Char"/>
    <w:qFormat/>
    <w:pPr>
      <w:keepNext/>
      <w:keepLines/>
      <w:snapToGrid w:val="0"/>
      <w:spacing w:beforeLines="50" w:before="156" w:afterLines="50" w:after="156" w:line="240" w:lineRule="auto"/>
      <w:ind w:firstLineChars="0" w:firstLine="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86"/>
        <w:tab w:val="right" w:leader="dot" w:pos="8778"/>
      </w:tabs>
      <w:ind w:firstLineChars="171" w:firstLine="323"/>
    </w:pPr>
    <w:rPr>
      <w:rFonts w:ascii="宋体" w:hAnsi="宋体"/>
      <w:snapToGrid w:val="0"/>
      <w:kern w:val="0"/>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3"/>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qFormat/>
  </w:style>
  <w:style w:type="character" w:styleId="ad">
    <w:name w:val="annotation reference"/>
    <w:basedOn w:val="a0"/>
    <w:uiPriority w:val="99"/>
    <w:semiHidden/>
    <w:unhideWhenUsed/>
    <w:qFormat/>
    <w:rPr>
      <w:sz w:val="21"/>
      <w:szCs w:val="21"/>
    </w:rPr>
  </w:style>
  <w:style w:type="character" w:customStyle="1" w:styleId="Char1">
    <w:name w:val="页脚 Char"/>
    <w:basedOn w:val="a0"/>
    <w:link w:val="a6"/>
    <w:qFormat/>
    <w:rPr>
      <w:rFonts w:ascii="Times New Roman" w:eastAsia="宋体" w:hAnsi="Times New Roman" w:cs="Times New Roman"/>
      <w:sz w:val="18"/>
      <w:szCs w:val="18"/>
    </w:rPr>
  </w:style>
  <w:style w:type="paragraph" w:customStyle="1" w:styleId="CharCharCharChar">
    <w:name w:val="Char Char Char Char"/>
    <w:basedOn w:val="a"/>
    <w:qFormat/>
    <w:rPr>
      <w:rFonts w:ascii="Tahoma" w:hAnsi="Tahoma"/>
      <w:sz w:val="24"/>
      <w:szCs w:val="20"/>
    </w:rPr>
  </w:style>
  <w:style w:type="paragraph" w:styleId="ae">
    <w:name w:val="List Paragraph"/>
    <w:basedOn w:val="a"/>
    <w:uiPriority w:val="34"/>
    <w:qFormat/>
    <w:pPr>
      <w:ind w:firstLine="420"/>
    </w:p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rPr>
      <w:rFonts w:ascii="Times New Roman" w:eastAsia="宋体" w:hAnsi="Times New Roman" w:cs="Times New Roman"/>
      <w:szCs w:val="24"/>
    </w:rPr>
  </w:style>
  <w:style w:type="character" w:customStyle="1" w:styleId="Char3">
    <w:name w:val="批注主题 Char"/>
    <w:basedOn w:val="Char"/>
    <w:link w:val="a9"/>
    <w:uiPriority w:val="99"/>
    <w:semiHidden/>
    <w:qFormat/>
    <w:rPr>
      <w:rFonts w:ascii="Times New Roman" w:eastAsia="宋体" w:hAnsi="Times New Roman" w:cs="Times New Roman"/>
      <w:b/>
      <w:bCs/>
      <w:szCs w:val="24"/>
    </w:rPr>
  </w:style>
  <w:style w:type="character" w:customStyle="1" w:styleId="3Char">
    <w:name w:val="标题 3 Char"/>
    <w:basedOn w:val="a0"/>
    <w:link w:val="3"/>
    <w:qFormat/>
    <w:rPr>
      <w:rFonts w:ascii="Times New Roman" w:eastAsia="宋体" w:hAnsi="Times New Roman" w:cs="Times New Roman"/>
      <w:bCs/>
      <w:kern w:val="2"/>
      <w:sz w:val="28"/>
      <w:szCs w:val="32"/>
    </w:rPr>
  </w:style>
  <w:style w:type="paragraph" w:customStyle="1" w:styleId="af">
    <w:name w:val="表格内容"/>
    <w:basedOn w:val="a"/>
    <w:qFormat/>
    <w:pPr>
      <w:framePr w:hSpace="180" w:wrap="around" w:vAnchor="text" w:hAnchor="margin" w:xAlign="center" w:y="292"/>
      <w:widowControl/>
      <w:snapToGrid w:val="0"/>
      <w:spacing w:line="240" w:lineRule="auto"/>
      <w:ind w:firstLineChars="0" w:firstLine="0"/>
      <w:jc w:val="center"/>
    </w:pPr>
    <w:rPr>
      <w:sz w:val="24"/>
      <w:szCs w:val="20"/>
    </w:rPr>
  </w:style>
  <w:style w:type="character" w:customStyle="1" w:styleId="1Char">
    <w:name w:val="标题 1 Char"/>
    <w:basedOn w:val="a0"/>
    <w:link w:val="1"/>
    <w:qFormat/>
    <w:rPr>
      <w:rFonts w:ascii="Times New Roman" w:eastAsia="宋体" w:hAnsi="Times New Roman" w:cs="Times New Roman"/>
      <w:b/>
      <w:bCs/>
      <w:kern w:val="44"/>
      <w:sz w:val="28"/>
      <w:szCs w:val="44"/>
    </w:rPr>
  </w:style>
  <w:style w:type="character" w:customStyle="1" w:styleId="2Char">
    <w:name w:val="标题 2 Char"/>
    <w:basedOn w:val="a0"/>
    <w:link w:val="2"/>
    <w:qFormat/>
    <w:rPr>
      <w:rFonts w:ascii="Times New Roman" w:eastAsia="宋体" w:hAnsi="Times New Roman" w:cs="Times New Roman"/>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6F3D-0DF9-4567-9148-33E2F77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1113</Words>
  <Characters>6346</Characters>
  <Application>Microsoft Office Word</Application>
  <DocSecurity>0</DocSecurity>
  <Lines>52</Lines>
  <Paragraphs>14</Paragraphs>
  <ScaleCrop>false</ScaleCrop>
  <Company>HP Inc.</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Yu</dc:creator>
  <cp:lastModifiedBy>HP</cp:lastModifiedBy>
  <cp:revision>73</cp:revision>
  <cp:lastPrinted>2022-11-18T08:32:00Z</cp:lastPrinted>
  <dcterms:created xsi:type="dcterms:W3CDTF">2022-11-25T02:23:00Z</dcterms:created>
  <dcterms:modified xsi:type="dcterms:W3CDTF">2024-08-28T02:49:00Z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A7653CCFFF9E4A6BB5FEEEED0A16FE88</vt:lpwstr>
  </property>
</Properties>
</file>