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5850">
      <w:pPr>
        <w:spacing w:line="400" w:lineRule="atLeast"/>
        <w:jc w:val="center"/>
        <w:rPr>
          <w:b/>
          <w:bCs/>
          <w:sz w:val="32"/>
          <w:szCs w:val="32"/>
        </w:rPr>
      </w:pPr>
      <w:r>
        <w:rPr>
          <w:b/>
          <w:bCs/>
          <w:sz w:val="32"/>
          <w:szCs w:val="32"/>
        </w:rPr>
        <w:t>材料与化工专业</w:t>
      </w:r>
    </w:p>
    <w:p w14:paraId="7AE80E28">
      <w:pPr>
        <w:spacing w:line="400" w:lineRule="atLeast"/>
        <w:jc w:val="center"/>
        <w:rPr>
          <w:b/>
          <w:bCs/>
          <w:sz w:val="32"/>
          <w:szCs w:val="32"/>
        </w:rPr>
      </w:pPr>
      <w:r>
        <w:rPr>
          <w:b/>
          <w:bCs/>
          <w:sz w:val="32"/>
          <w:szCs w:val="32"/>
        </w:rPr>
        <w:t>博士学位研究生培养方案</w:t>
      </w:r>
    </w:p>
    <w:p w14:paraId="33741D20">
      <w:pPr>
        <w:spacing w:line="400" w:lineRule="atLeast"/>
        <w:jc w:val="center"/>
        <w:rPr>
          <w:b/>
          <w:bCs/>
          <w:szCs w:val="21"/>
        </w:rPr>
      </w:pPr>
      <w:r>
        <w:rPr>
          <w:b/>
          <w:bCs/>
        </w:rPr>
        <w:t>（学科专业代码：085600）</w:t>
      </w:r>
    </w:p>
    <w:p w14:paraId="088E3390">
      <w:pPr>
        <w:spacing w:line="400" w:lineRule="atLeast"/>
        <w:jc w:val="center"/>
        <w:rPr>
          <w:b/>
          <w:bCs/>
          <w:sz w:val="24"/>
        </w:rPr>
      </w:pPr>
    </w:p>
    <w:p w14:paraId="400547C9">
      <w:pPr>
        <w:pStyle w:val="63"/>
        <w:widowControl/>
        <w:numPr>
          <w:ilvl w:val="0"/>
          <w:numId w:val="1"/>
        </w:numPr>
        <w:spacing w:line="400" w:lineRule="exact"/>
        <w:ind w:firstLineChars="0"/>
        <w:rPr>
          <w:b/>
          <w:bCs/>
        </w:rPr>
      </w:pPr>
      <w:r>
        <w:rPr>
          <w:b/>
          <w:bCs/>
        </w:rPr>
        <w:t>培养目标</w:t>
      </w:r>
    </w:p>
    <w:p w14:paraId="042754B1">
      <w:pPr>
        <w:widowControl/>
        <w:spacing w:line="360" w:lineRule="auto"/>
        <w:ind w:firstLine="420" w:firstLineChars="200"/>
        <w:rPr>
          <w:kern w:val="0"/>
          <w:szCs w:val="21"/>
        </w:rPr>
      </w:pPr>
      <w:r>
        <w:rPr>
          <w:kern w:val="0"/>
          <w:szCs w:val="21"/>
        </w:rPr>
        <w:t>结合国家绿色发展战略和行业转型需求，面向新材料、化工绿色发展实际，坚持立德树人根本任务，培养政治素质过硬，掌握材料、轻工</w:t>
      </w:r>
      <w:r>
        <w:rPr>
          <w:rFonts w:hint="eastAsia"/>
          <w:kern w:val="0"/>
          <w:szCs w:val="21"/>
        </w:rPr>
        <w:t>和</w:t>
      </w:r>
      <w:r>
        <w:rPr>
          <w:kern w:val="0"/>
          <w:szCs w:val="21"/>
        </w:rPr>
        <w:t>化工领域扎实的基础理论和系统知识，具备较强工程技术创新创造能力和国际战略视野，善于解决复杂工程技术问题的高层次应用型人才。</w:t>
      </w:r>
    </w:p>
    <w:p w14:paraId="420D553E">
      <w:pPr>
        <w:widowControl/>
        <w:spacing w:line="360" w:lineRule="auto"/>
        <w:ind w:firstLine="420" w:firstLineChars="200"/>
        <w:rPr>
          <w:kern w:val="0"/>
          <w:szCs w:val="21"/>
        </w:rPr>
      </w:pPr>
      <w:r>
        <w:rPr>
          <w:kern w:val="0"/>
          <w:szCs w:val="21"/>
        </w:rPr>
        <w:t>1. 政治素养：拥护中国共产党的领导，热爱祖国，具有高度的社会责任感，践行社会主义核心价值观，具有科技报国理想，恪守学术道德规范和工程伦理规范，服务科技进步和社会发展。</w:t>
      </w:r>
    </w:p>
    <w:p w14:paraId="59F31B40">
      <w:pPr>
        <w:widowControl/>
        <w:spacing w:line="360" w:lineRule="auto"/>
        <w:ind w:firstLine="420" w:firstLineChars="200"/>
        <w:rPr>
          <w:kern w:val="0"/>
          <w:szCs w:val="21"/>
        </w:rPr>
      </w:pPr>
      <w:r>
        <w:rPr>
          <w:kern w:val="0"/>
          <w:szCs w:val="21"/>
        </w:rPr>
        <w:t>2. 专业知识：掌握本工程领域坚实宽广的基础理论、系统深入的专业知识和工程技术基础知识；熟悉本工程领域的发展趋势与前沿，掌握相关的人文社科及工程管理知识。</w:t>
      </w:r>
    </w:p>
    <w:p w14:paraId="087BB0A2">
      <w:pPr>
        <w:widowControl/>
        <w:spacing w:line="360" w:lineRule="auto"/>
        <w:ind w:firstLine="420" w:firstLineChars="200"/>
        <w:rPr>
          <w:kern w:val="0"/>
          <w:szCs w:val="21"/>
        </w:rPr>
      </w:pPr>
      <w:r>
        <w:rPr>
          <w:kern w:val="0"/>
          <w:szCs w:val="21"/>
        </w:rPr>
        <w:t>3. 实践能力：具备解决材料与化工领域实际生产中的复杂工程技术问题、进行工程技术创新以及规划和组织实施工程技术研究开发工作的能力，在推动产业发展和工程技术进步方面能做出创造性成果。</w:t>
      </w:r>
    </w:p>
    <w:p w14:paraId="42C26CFC">
      <w:pPr>
        <w:widowControl/>
        <w:spacing w:line="360" w:lineRule="auto"/>
        <w:ind w:firstLine="420" w:firstLineChars="200"/>
        <w:rPr>
          <w:kern w:val="0"/>
          <w:szCs w:val="21"/>
        </w:rPr>
      </w:pPr>
      <w:r>
        <w:rPr>
          <w:kern w:val="0"/>
          <w:szCs w:val="21"/>
        </w:rPr>
        <w:t>4. 综合素质：具有健康的体质、良好的心理素质</w:t>
      </w:r>
      <w:r>
        <w:rPr>
          <w:rFonts w:hint="eastAsia"/>
          <w:kern w:val="0"/>
          <w:szCs w:val="21"/>
        </w:rPr>
        <w:t>，</w:t>
      </w:r>
      <w:r>
        <w:rPr>
          <w:kern w:val="0"/>
          <w:szCs w:val="21"/>
        </w:rPr>
        <w:t>具有良好的沟通协调能力，具备国际视野和跨文化交流能力，至少精通一门外国语，能熟练地阅读本专业外文资料，具备瞄准国际工程技术研究前沿，开展学术研究和技术交流的能力。</w:t>
      </w:r>
    </w:p>
    <w:p w14:paraId="173F5946">
      <w:pPr>
        <w:adjustRightInd w:val="0"/>
        <w:snapToGrid w:val="0"/>
        <w:spacing w:line="400" w:lineRule="exact"/>
        <w:rPr>
          <w:b/>
          <w:bCs/>
        </w:rPr>
      </w:pPr>
      <w:r>
        <w:rPr>
          <w:b/>
          <w:bCs/>
        </w:rPr>
        <w:t>二、研究方向</w:t>
      </w:r>
    </w:p>
    <w:p w14:paraId="594B0BEC">
      <w:pPr>
        <w:adjustRightInd w:val="0"/>
        <w:snapToGrid w:val="0"/>
        <w:spacing w:line="400" w:lineRule="exact"/>
        <w:ind w:firstLine="211" w:firstLineChars="100"/>
        <w:rPr>
          <w:b/>
          <w:bCs/>
        </w:rPr>
      </w:pPr>
      <w:r>
        <w:rPr>
          <w:b/>
          <w:bCs/>
        </w:rPr>
        <w:t>材料工程</w:t>
      </w:r>
      <w:r>
        <w:rPr>
          <w:rFonts w:hint="eastAsia"/>
          <w:b/>
          <w:bCs/>
        </w:rPr>
        <w:t>领域</w:t>
      </w:r>
      <w:r>
        <w:rPr>
          <w:b/>
          <w:bCs/>
        </w:rPr>
        <w:t>：</w:t>
      </w:r>
    </w:p>
    <w:p w14:paraId="6F59300B">
      <w:pPr>
        <w:adjustRightInd w:val="0"/>
        <w:snapToGrid w:val="0"/>
        <w:spacing w:line="400" w:lineRule="exact"/>
        <w:ind w:firstLine="420" w:firstLineChars="200"/>
      </w:pPr>
      <w:r>
        <w:t>1. 光电信息材料与器件</w:t>
      </w:r>
    </w:p>
    <w:p w14:paraId="4B94FC1F">
      <w:pPr>
        <w:adjustRightInd w:val="0"/>
        <w:snapToGrid w:val="0"/>
        <w:spacing w:line="400" w:lineRule="exact"/>
        <w:ind w:firstLine="420" w:firstLineChars="200"/>
      </w:pPr>
      <w:r>
        <w:t>2. 轻质高强材料</w:t>
      </w:r>
    </w:p>
    <w:p w14:paraId="2D992148">
      <w:pPr>
        <w:adjustRightInd w:val="0"/>
        <w:snapToGrid w:val="0"/>
        <w:spacing w:line="400" w:lineRule="exact"/>
        <w:ind w:firstLine="420" w:firstLineChars="200"/>
      </w:pPr>
      <w:r>
        <w:t>3. 绿色减碳材料</w:t>
      </w:r>
    </w:p>
    <w:p w14:paraId="16C84723">
      <w:pPr>
        <w:adjustRightInd w:val="0"/>
        <w:snapToGrid w:val="0"/>
        <w:spacing w:line="400" w:lineRule="exact"/>
        <w:ind w:firstLine="420" w:firstLineChars="200"/>
      </w:pPr>
      <w:r>
        <w:t>4. 材料计算与</w:t>
      </w:r>
      <w:r>
        <w:rPr>
          <w:rFonts w:hint="eastAsia"/>
        </w:rPr>
        <w:t>智能</w:t>
      </w:r>
      <w:r>
        <w:t>设计</w:t>
      </w:r>
    </w:p>
    <w:p w14:paraId="44C7F8BC">
      <w:pPr>
        <w:adjustRightInd w:val="0"/>
        <w:snapToGrid w:val="0"/>
        <w:spacing w:line="400" w:lineRule="exact"/>
        <w:ind w:firstLine="211" w:firstLineChars="100"/>
        <w:rPr>
          <w:b/>
          <w:bCs/>
        </w:rPr>
      </w:pPr>
      <w:r>
        <w:rPr>
          <w:b/>
          <w:bCs/>
        </w:rPr>
        <w:t>轻化工程</w:t>
      </w:r>
      <w:r>
        <w:rPr>
          <w:rFonts w:hint="eastAsia"/>
          <w:b/>
          <w:bCs/>
        </w:rPr>
        <w:t>领域</w:t>
      </w:r>
      <w:r>
        <w:rPr>
          <w:b/>
          <w:bCs/>
        </w:rPr>
        <w:t>：</w:t>
      </w:r>
    </w:p>
    <w:p w14:paraId="05CC19C5">
      <w:pPr>
        <w:adjustRightInd w:val="0"/>
        <w:snapToGrid w:val="0"/>
        <w:spacing w:line="400" w:lineRule="exact"/>
        <w:ind w:firstLine="420" w:firstLineChars="200"/>
      </w:pPr>
      <w:r>
        <w:rPr>
          <w:rFonts w:hint="eastAsia"/>
        </w:rPr>
        <w:t>1. 生物基功能材料</w:t>
      </w:r>
    </w:p>
    <w:p w14:paraId="0205480D">
      <w:pPr>
        <w:adjustRightInd w:val="0"/>
        <w:snapToGrid w:val="0"/>
        <w:spacing w:line="400" w:lineRule="exact"/>
        <w:ind w:firstLine="420" w:firstLineChars="200"/>
      </w:pPr>
      <w:r>
        <w:rPr>
          <w:rFonts w:hint="eastAsia"/>
        </w:rPr>
        <w:t>2. 生物质能源与器件</w:t>
      </w:r>
    </w:p>
    <w:p w14:paraId="06EF076E">
      <w:pPr>
        <w:adjustRightInd w:val="0"/>
        <w:snapToGrid w:val="0"/>
        <w:spacing w:line="400" w:lineRule="exact"/>
        <w:ind w:firstLine="420" w:firstLineChars="200"/>
      </w:pPr>
      <w:r>
        <w:rPr>
          <w:rFonts w:hint="eastAsia"/>
        </w:rPr>
        <w:t>3. 现代轻工技术与工程</w:t>
      </w:r>
    </w:p>
    <w:p w14:paraId="6D83411B">
      <w:pPr>
        <w:adjustRightInd w:val="0"/>
        <w:snapToGrid w:val="0"/>
        <w:spacing w:line="400" w:lineRule="exact"/>
        <w:ind w:firstLine="211" w:firstLineChars="100"/>
        <w:rPr>
          <w:b/>
          <w:bCs/>
        </w:rPr>
      </w:pPr>
      <w:r>
        <w:rPr>
          <w:b/>
          <w:bCs/>
        </w:rPr>
        <w:t>化学工程</w:t>
      </w:r>
      <w:r>
        <w:rPr>
          <w:rFonts w:hint="eastAsia"/>
          <w:b/>
          <w:bCs/>
        </w:rPr>
        <w:t>领域</w:t>
      </w:r>
      <w:r>
        <w:rPr>
          <w:b/>
          <w:bCs/>
        </w:rPr>
        <w:t>：</w:t>
      </w:r>
    </w:p>
    <w:p w14:paraId="0AFD36DE">
      <w:pPr>
        <w:adjustRightInd w:val="0"/>
        <w:snapToGrid w:val="0"/>
        <w:spacing w:line="400" w:lineRule="exact"/>
        <w:ind w:firstLine="420" w:firstLineChars="200"/>
      </w:pPr>
      <w:r>
        <w:rPr>
          <w:rFonts w:hint="eastAsia"/>
        </w:rPr>
        <w:t>1. 精细化工</w:t>
      </w:r>
    </w:p>
    <w:p w14:paraId="275C5128">
      <w:pPr>
        <w:adjustRightInd w:val="0"/>
        <w:snapToGrid w:val="0"/>
        <w:spacing w:line="400" w:lineRule="exact"/>
        <w:ind w:firstLine="420" w:firstLineChars="200"/>
      </w:pPr>
      <w:r>
        <w:rPr>
          <w:rFonts w:hint="eastAsia"/>
        </w:rPr>
        <w:t>2. 催化材料制备与应用</w:t>
      </w:r>
    </w:p>
    <w:p w14:paraId="365E37F5">
      <w:pPr>
        <w:adjustRightInd w:val="0"/>
        <w:snapToGrid w:val="0"/>
        <w:spacing w:line="400" w:lineRule="exact"/>
        <w:ind w:firstLine="420" w:firstLineChars="200"/>
      </w:pPr>
      <w:r>
        <w:rPr>
          <w:rFonts w:hint="eastAsia"/>
        </w:rPr>
        <w:t>3. 药物开发与制药工程</w:t>
      </w:r>
    </w:p>
    <w:p w14:paraId="351F8B8E">
      <w:pPr>
        <w:widowControl/>
        <w:spacing w:line="360" w:lineRule="auto"/>
        <w:ind w:firstLine="420" w:firstLineChars="200"/>
        <w:rPr>
          <w:b/>
          <w:bCs/>
        </w:rPr>
      </w:pPr>
      <w:r>
        <w:rPr>
          <w:rFonts w:hint="eastAsia"/>
        </w:rPr>
        <w:t>4. 材料化学工程</w:t>
      </w:r>
    </w:p>
    <w:p w14:paraId="2B4344E9">
      <w:pPr>
        <w:adjustRightInd w:val="0"/>
        <w:snapToGrid w:val="0"/>
        <w:spacing w:line="400" w:lineRule="exact"/>
        <w:rPr>
          <w:b/>
          <w:bCs/>
        </w:rPr>
      </w:pPr>
      <w:r>
        <w:rPr>
          <w:b/>
          <w:bCs/>
        </w:rPr>
        <w:t>三、学制与学习年限</w:t>
      </w:r>
    </w:p>
    <w:p w14:paraId="437D61DD">
      <w:pPr>
        <w:widowControl/>
        <w:spacing w:line="360" w:lineRule="auto"/>
        <w:ind w:firstLine="420" w:firstLineChars="200"/>
        <w:rPr>
          <w:kern w:val="0"/>
          <w:szCs w:val="21"/>
        </w:rPr>
      </w:pPr>
      <w:r>
        <w:rPr>
          <w:kern w:val="0"/>
          <w:szCs w:val="21"/>
        </w:rPr>
        <w:t>采用全日制学习方式，学制为4年，最长学习年限（含休学）为7年。</w:t>
      </w:r>
    </w:p>
    <w:p w14:paraId="5C264837">
      <w:pPr>
        <w:pStyle w:val="4"/>
        <w:spacing w:line="400" w:lineRule="exact"/>
        <w:ind w:firstLine="0"/>
        <w:rPr>
          <w:b/>
          <w:bCs/>
        </w:rPr>
      </w:pPr>
      <w:r>
        <w:rPr>
          <w:b/>
          <w:bCs/>
        </w:rPr>
        <w:t>四、培养方式</w:t>
      </w:r>
    </w:p>
    <w:p w14:paraId="52158CFC">
      <w:pPr>
        <w:widowControl/>
        <w:spacing w:line="360" w:lineRule="auto"/>
        <w:ind w:firstLine="420" w:firstLineChars="200"/>
        <w:rPr>
          <w:kern w:val="0"/>
          <w:szCs w:val="21"/>
        </w:rPr>
      </w:pPr>
      <w:r>
        <w:rPr>
          <w:kern w:val="0"/>
          <w:szCs w:val="21"/>
        </w:rPr>
        <w:t>采取校企合作方式，组建导师组，成立以研究生</w:t>
      </w:r>
      <w:r>
        <w:rPr>
          <w:rFonts w:hint="eastAsia"/>
          <w:kern w:val="0"/>
          <w:szCs w:val="21"/>
        </w:rPr>
        <w:t>校内</w:t>
      </w:r>
      <w:r>
        <w:rPr>
          <w:kern w:val="0"/>
          <w:szCs w:val="21"/>
        </w:rPr>
        <w:t>导师为组长的博士研究生指导小组，由3-5名本专业和相关学科的专家组成，其中应有一名校内跨学科的导师或校外导师。构建由本专业老中青结合、交叉学科导师、企（行）业导师联合组成的导师组，积极发挥多学科交叉、产教融合协同对研究生培养的重要作用。</w:t>
      </w:r>
    </w:p>
    <w:p w14:paraId="124C2DD4">
      <w:pPr>
        <w:widowControl/>
        <w:spacing w:line="360" w:lineRule="auto"/>
        <w:ind w:firstLine="420" w:firstLineChars="200"/>
        <w:rPr>
          <w:kern w:val="0"/>
          <w:szCs w:val="21"/>
        </w:rPr>
      </w:pPr>
      <w:r>
        <w:rPr>
          <w:kern w:val="0"/>
          <w:szCs w:val="21"/>
        </w:rPr>
        <w:t>结合本学科优势和办学特色，指导博士研究生制订个人培养计划，校内博士生导师作为第一责任人负责材料与化工博士的培养和考核工作。聚焦材料与化工领域专业人才的能力结构和素质要求，重视理论与实践相结合，强化实践环节管理，以产教融合项目为牵引、以联合培养基地建设为纽带，聘请企（行）业专家全面参与材料与化工博士培养各环节，实现产教融合协同育人。</w:t>
      </w:r>
    </w:p>
    <w:p w14:paraId="43AD59D2">
      <w:pPr>
        <w:pStyle w:val="4"/>
        <w:spacing w:line="400" w:lineRule="exact"/>
        <w:ind w:firstLine="0"/>
        <w:rPr>
          <w:b/>
          <w:bCs/>
        </w:rPr>
      </w:pPr>
      <w:r>
        <w:rPr>
          <w:b/>
          <w:bCs/>
        </w:rPr>
        <w:t>五、学分要求及课程设置</w:t>
      </w:r>
    </w:p>
    <w:p w14:paraId="31ABE78E">
      <w:pPr>
        <w:widowControl/>
        <w:spacing w:line="360" w:lineRule="auto"/>
        <w:ind w:firstLine="420" w:firstLineChars="200"/>
        <w:rPr>
          <w:kern w:val="0"/>
          <w:szCs w:val="21"/>
        </w:rPr>
      </w:pPr>
      <w:r>
        <w:rPr>
          <w:kern w:val="0"/>
          <w:szCs w:val="21"/>
        </w:rPr>
        <w:t>材料与化工专业学位博士研究生课程学习实行学分制，总学分应不少于21学分。课程由公共课程、专业必修课、专业选修课和补修课组成。</w:t>
      </w:r>
    </w:p>
    <w:p w14:paraId="3861A5DB">
      <w:pPr>
        <w:widowControl/>
        <w:spacing w:line="360" w:lineRule="auto"/>
        <w:ind w:firstLine="420" w:firstLineChars="200"/>
        <w:rPr>
          <w:kern w:val="0"/>
          <w:szCs w:val="21"/>
        </w:rPr>
      </w:pPr>
      <w:r>
        <w:rPr>
          <w:kern w:val="0"/>
          <w:szCs w:val="21"/>
        </w:rPr>
        <w:t>博士研究生学分要求：总学分≥21学分，选修课学分≥8学分。</w:t>
      </w:r>
    </w:p>
    <w:p w14:paraId="48DB6F8E">
      <w:pPr>
        <w:widowControl/>
        <w:spacing w:line="360" w:lineRule="auto"/>
        <w:ind w:firstLine="420" w:firstLineChars="200"/>
        <w:rPr>
          <w:kern w:val="0"/>
          <w:szCs w:val="21"/>
        </w:rPr>
      </w:pPr>
      <w:r>
        <w:rPr>
          <w:kern w:val="0"/>
          <w:szCs w:val="21"/>
        </w:rPr>
        <w:t>1. 公共课程（2学分）</w:t>
      </w:r>
    </w:p>
    <w:p w14:paraId="25537BD8">
      <w:pPr>
        <w:widowControl/>
        <w:spacing w:line="360" w:lineRule="auto"/>
        <w:ind w:firstLine="420" w:firstLineChars="200"/>
        <w:rPr>
          <w:kern w:val="0"/>
          <w:szCs w:val="21"/>
        </w:rPr>
      </w:pPr>
      <w:r>
        <w:rPr>
          <w:kern w:val="0"/>
          <w:szCs w:val="21"/>
        </w:rPr>
        <w:t>中国马克思主义与当代（2学分）。</w:t>
      </w:r>
    </w:p>
    <w:p w14:paraId="0EC2DE78">
      <w:pPr>
        <w:widowControl/>
        <w:spacing w:line="360" w:lineRule="auto"/>
        <w:ind w:firstLine="420" w:firstLineChars="200"/>
        <w:rPr>
          <w:kern w:val="0"/>
          <w:szCs w:val="21"/>
        </w:rPr>
      </w:pPr>
      <w:r>
        <w:rPr>
          <w:kern w:val="0"/>
          <w:szCs w:val="21"/>
        </w:rPr>
        <w:t>2. 专业必修课（</w:t>
      </w:r>
      <w:r>
        <w:rPr>
          <w:rFonts w:hint="eastAsia"/>
          <w:kern w:val="0"/>
          <w:szCs w:val="21"/>
        </w:rPr>
        <w:t>5</w:t>
      </w:r>
      <w:r>
        <w:rPr>
          <w:kern w:val="0"/>
          <w:szCs w:val="21"/>
        </w:rPr>
        <w:t>学分）</w:t>
      </w:r>
    </w:p>
    <w:p w14:paraId="64DD62A1">
      <w:pPr>
        <w:widowControl/>
        <w:spacing w:line="360" w:lineRule="auto"/>
        <w:ind w:firstLine="420" w:firstLineChars="200"/>
        <w:rPr>
          <w:kern w:val="0"/>
          <w:szCs w:val="21"/>
        </w:rPr>
      </w:pPr>
      <w:r>
        <w:rPr>
          <w:kern w:val="0"/>
          <w:szCs w:val="21"/>
        </w:rPr>
        <w:t>学术规范与科研技能（1学分）、工程伦理（1学分）、专业外语（1学分）</w:t>
      </w:r>
      <w:r>
        <w:rPr>
          <w:rFonts w:hint="eastAsia"/>
          <w:kern w:val="0"/>
          <w:szCs w:val="21"/>
        </w:rPr>
        <w:t>、专业前沿（2学分）</w:t>
      </w:r>
      <w:r>
        <w:rPr>
          <w:kern w:val="0"/>
          <w:szCs w:val="21"/>
        </w:rPr>
        <w:t>。</w:t>
      </w:r>
    </w:p>
    <w:p w14:paraId="1C1DADCE">
      <w:pPr>
        <w:widowControl/>
        <w:spacing w:line="360" w:lineRule="auto"/>
        <w:ind w:firstLine="420" w:firstLineChars="200"/>
        <w:rPr>
          <w:kern w:val="0"/>
          <w:szCs w:val="21"/>
        </w:rPr>
      </w:pPr>
      <w:r>
        <w:rPr>
          <w:kern w:val="0"/>
          <w:szCs w:val="21"/>
        </w:rPr>
        <w:t>3. 专业选修课（不少于8学分）</w:t>
      </w:r>
    </w:p>
    <w:p w14:paraId="5815E8D8">
      <w:pPr>
        <w:widowControl/>
        <w:spacing w:line="360" w:lineRule="auto"/>
        <w:ind w:firstLine="420" w:firstLineChars="200"/>
        <w:rPr>
          <w:kern w:val="0"/>
          <w:szCs w:val="21"/>
        </w:rPr>
      </w:pPr>
      <w:r>
        <w:rPr>
          <w:kern w:val="0"/>
          <w:szCs w:val="21"/>
        </w:rPr>
        <w:t>实验室安全教育（0.5学分）</w:t>
      </w:r>
      <w:r>
        <w:rPr>
          <w:rFonts w:hint="eastAsia"/>
          <w:kern w:val="0"/>
          <w:szCs w:val="21"/>
        </w:rPr>
        <w:t>，其他选修课不少于7.5学分。</w:t>
      </w:r>
    </w:p>
    <w:p w14:paraId="03C0A9A8">
      <w:pPr>
        <w:widowControl/>
        <w:spacing w:line="360" w:lineRule="auto"/>
        <w:ind w:firstLine="420" w:firstLineChars="200"/>
        <w:rPr>
          <w:kern w:val="0"/>
          <w:szCs w:val="21"/>
        </w:rPr>
      </w:pPr>
      <w:r>
        <w:rPr>
          <w:kern w:val="0"/>
          <w:szCs w:val="21"/>
        </w:rPr>
        <w:t>4. 补修课（0学分）</w:t>
      </w:r>
    </w:p>
    <w:p w14:paraId="00377798">
      <w:pPr>
        <w:widowControl/>
        <w:spacing w:line="360" w:lineRule="auto"/>
        <w:ind w:firstLine="420" w:firstLineChars="200"/>
        <w:rPr>
          <w:kern w:val="0"/>
          <w:szCs w:val="21"/>
        </w:rPr>
      </w:pPr>
      <w:r>
        <w:rPr>
          <w:kern w:val="0"/>
          <w:szCs w:val="21"/>
        </w:rPr>
        <w:t>跨学科考入的博士研究生须补修本专业硕士阶段主干课程2门，补修课程成绩必须合格但不记学分。</w:t>
      </w:r>
    </w:p>
    <w:p w14:paraId="4B000DB8">
      <w:pPr>
        <w:spacing w:before="115"/>
        <w:ind w:left="298"/>
        <w:rPr>
          <w:rFonts w:eastAsia="微软雅黑"/>
          <w:b/>
          <w:sz w:val="24"/>
        </w:rPr>
      </w:pPr>
      <w:r>
        <w:rPr>
          <w:rFonts w:eastAsia="微软雅黑"/>
          <w:b/>
          <w:sz w:val="24"/>
        </w:rPr>
        <w:t>材料与化工专业（一级学科）专业学位博士研究生课程与培养环节</w:t>
      </w:r>
      <w:r>
        <w:rPr>
          <w:rFonts w:hint="eastAsia" w:eastAsia="微软雅黑"/>
          <w:b/>
          <w:sz w:val="24"/>
        </w:rPr>
        <w:t>设置表</w:t>
      </w:r>
    </w:p>
    <w:tbl>
      <w:tblPr>
        <w:tblStyle w:val="20"/>
        <w:tblpPr w:leftFromText="180" w:rightFromText="180" w:vertAnchor="text" w:horzAnchor="margin" w:tblpXSpec="right" w:tblpY="292"/>
        <w:tblW w:w="8477" w:type="dxa"/>
        <w:tblInd w:w="0" w:type="dxa"/>
        <w:tblLayout w:type="fixed"/>
        <w:tblCellMar>
          <w:top w:w="0" w:type="dxa"/>
          <w:left w:w="108" w:type="dxa"/>
          <w:bottom w:w="0" w:type="dxa"/>
          <w:right w:w="108" w:type="dxa"/>
        </w:tblCellMar>
      </w:tblPr>
      <w:tblGrid>
        <w:gridCol w:w="562"/>
        <w:gridCol w:w="1418"/>
        <w:gridCol w:w="2977"/>
        <w:gridCol w:w="1281"/>
        <w:gridCol w:w="821"/>
        <w:gridCol w:w="1418"/>
      </w:tblGrid>
      <w:tr w14:paraId="60F01C2D">
        <w:tblPrEx>
          <w:tblCellMar>
            <w:top w:w="0" w:type="dxa"/>
            <w:left w:w="108" w:type="dxa"/>
            <w:bottom w:w="0" w:type="dxa"/>
            <w:right w:w="108" w:type="dxa"/>
          </w:tblCellMar>
        </w:tblPrEx>
        <w:trPr>
          <w:trHeight w:val="495" w:hRule="atLeast"/>
        </w:trPr>
        <w:tc>
          <w:tcPr>
            <w:tcW w:w="1980" w:type="dxa"/>
            <w:gridSpan w:val="2"/>
            <w:tcBorders>
              <w:top w:val="single" w:color="auto" w:sz="4" w:space="0"/>
              <w:left w:val="single" w:color="auto" w:sz="4" w:space="0"/>
              <w:bottom w:val="single" w:color="auto" w:sz="4" w:space="0"/>
              <w:right w:val="single" w:color="auto" w:sz="4" w:space="0"/>
            </w:tcBorders>
            <w:vAlign w:val="bottom"/>
          </w:tcPr>
          <w:p w14:paraId="6AAF8F7F">
            <w:pPr>
              <w:widowControl/>
              <w:snapToGrid w:val="0"/>
              <w:spacing w:line="300" w:lineRule="auto"/>
              <w:jc w:val="center"/>
              <w:rPr>
                <w:rFonts w:eastAsia="等线"/>
                <w:b/>
                <w:bCs/>
                <w:kern w:val="0"/>
                <w:sz w:val="24"/>
              </w:rPr>
            </w:pPr>
            <w:r>
              <w:rPr>
                <w:rFonts w:eastAsia="等线"/>
                <w:b/>
                <w:bCs/>
                <w:kern w:val="0"/>
                <w:sz w:val="24"/>
              </w:rPr>
              <w:t>课程类别</w:t>
            </w:r>
          </w:p>
        </w:tc>
        <w:tc>
          <w:tcPr>
            <w:tcW w:w="2977" w:type="dxa"/>
            <w:tcBorders>
              <w:top w:val="single" w:color="auto" w:sz="4" w:space="0"/>
              <w:left w:val="nil"/>
              <w:bottom w:val="single" w:color="auto" w:sz="4" w:space="0"/>
              <w:right w:val="single" w:color="auto" w:sz="4" w:space="0"/>
            </w:tcBorders>
            <w:vAlign w:val="bottom"/>
          </w:tcPr>
          <w:p w14:paraId="6C20F2F2">
            <w:pPr>
              <w:widowControl/>
              <w:snapToGrid w:val="0"/>
              <w:spacing w:line="300" w:lineRule="auto"/>
              <w:jc w:val="center"/>
              <w:rPr>
                <w:rFonts w:eastAsia="等线"/>
                <w:b/>
                <w:bCs/>
                <w:kern w:val="0"/>
                <w:sz w:val="24"/>
              </w:rPr>
            </w:pPr>
            <w:r>
              <w:rPr>
                <w:rFonts w:eastAsia="等线"/>
                <w:b/>
                <w:bCs/>
                <w:kern w:val="0"/>
                <w:sz w:val="24"/>
              </w:rPr>
              <w:t>课程设置</w:t>
            </w:r>
          </w:p>
        </w:tc>
        <w:tc>
          <w:tcPr>
            <w:tcW w:w="1281" w:type="dxa"/>
            <w:tcBorders>
              <w:top w:val="single" w:color="auto" w:sz="4" w:space="0"/>
              <w:left w:val="nil"/>
              <w:bottom w:val="single" w:color="auto" w:sz="4" w:space="0"/>
              <w:right w:val="single" w:color="auto" w:sz="4" w:space="0"/>
            </w:tcBorders>
            <w:vAlign w:val="bottom"/>
          </w:tcPr>
          <w:p w14:paraId="471518C3">
            <w:pPr>
              <w:widowControl/>
              <w:snapToGrid w:val="0"/>
              <w:spacing w:line="300" w:lineRule="auto"/>
              <w:jc w:val="center"/>
              <w:rPr>
                <w:rFonts w:eastAsia="等线"/>
                <w:b/>
                <w:bCs/>
                <w:kern w:val="0"/>
                <w:sz w:val="24"/>
              </w:rPr>
            </w:pPr>
            <w:r>
              <w:rPr>
                <w:rFonts w:eastAsia="等线"/>
                <w:b/>
                <w:bCs/>
                <w:kern w:val="0"/>
                <w:sz w:val="24"/>
              </w:rPr>
              <w:t>课程要求</w:t>
            </w:r>
          </w:p>
        </w:tc>
        <w:tc>
          <w:tcPr>
            <w:tcW w:w="821" w:type="dxa"/>
            <w:tcBorders>
              <w:top w:val="single" w:color="auto" w:sz="4" w:space="0"/>
              <w:left w:val="nil"/>
              <w:bottom w:val="single" w:color="auto" w:sz="4" w:space="0"/>
              <w:right w:val="single" w:color="auto" w:sz="4" w:space="0"/>
            </w:tcBorders>
            <w:vAlign w:val="bottom"/>
          </w:tcPr>
          <w:p w14:paraId="0F63CB95">
            <w:pPr>
              <w:widowControl/>
              <w:snapToGrid w:val="0"/>
              <w:spacing w:line="300" w:lineRule="auto"/>
              <w:jc w:val="center"/>
              <w:rPr>
                <w:rFonts w:eastAsia="等线"/>
                <w:b/>
                <w:bCs/>
                <w:kern w:val="0"/>
                <w:sz w:val="24"/>
              </w:rPr>
            </w:pPr>
            <w:r>
              <w:rPr>
                <w:rFonts w:eastAsia="等线"/>
                <w:b/>
                <w:bCs/>
                <w:kern w:val="0"/>
                <w:sz w:val="24"/>
              </w:rPr>
              <w:t>学分</w:t>
            </w:r>
          </w:p>
        </w:tc>
        <w:tc>
          <w:tcPr>
            <w:tcW w:w="1418" w:type="dxa"/>
            <w:tcBorders>
              <w:top w:val="single" w:color="auto" w:sz="4" w:space="0"/>
              <w:left w:val="nil"/>
              <w:bottom w:val="single" w:color="auto" w:sz="4" w:space="0"/>
              <w:right w:val="single" w:color="auto" w:sz="4" w:space="0"/>
            </w:tcBorders>
            <w:vAlign w:val="bottom"/>
          </w:tcPr>
          <w:p w14:paraId="0285C556">
            <w:pPr>
              <w:widowControl/>
              <w:snapToGrid w:val="0"/>
              <w:spacing w:line="300" w:lineRule="auto"/>
              <w:jc w:val="center"/>
              <w:rPr>
                <w:rFonts w:eastAsia="等线"/>
                <w:b/>
                <w:bCs/>
                <w:kern w:val="0"/>
                <w:sz w:val="24"/>
              </w:rPr>
            </w:pPr>
            <w:r>
              <w:rPr>
                <w:rFonts w:eastAsia="等线"/>
                <w:b/>
                <w:bCs/>
                <w:kern w:val="0"/>
                <w:sz w:val="24"/>
              </w:rPr>
              <w:t>总学分</w:t>
            </w:r>
          </w:p>
        </w:tc>
      </w:tr>
      <w:tr w14:paraId="7523B81D">
        <w:tblPrEx>
          <w:tblCellMar>
            <w:top w:w="0" w:type="dxa"/>
            <w:left w:w="108" w:type="dxa"/>
            <w:bottom w:w="0" w:type="dxa"/>
            <w:right w:w="108" w:type="dxa"/>
          </w:tblCellMar>
        </w:tblPrEx>
        <w:trPr>
          <w:trHeight w:val="496"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7675E36E">
            <w:pPr>
              <w:widowControl/>
              <w:jc w:val="center"/>
              <w:rPr>
                <w:rFonts w:eastAsia="等线"/>
                <w:kern w:val="0"/>
                <w:sz w:val="22"/>
              </w:rPr>
            </w:pPr>
            <w:r>
              <w:rPr>
                <w:rFonts w:eastAsia="等线"/>
                <w:kern w:val="0"/>
                <w:sz w:val="22"/>
              </w:rPr>
              <w:t>公共课</w:t>
            </w:r>
          </w:p>
        </w:tc>
        <w:tc>
          <w:tcPr>
            <w:tcW w:w="2977" w:type="dxa"/>
            <w:tcBorders>
              <w:top w:val="nil"/>
              <w:left w:val="nil"/>
              <w:bottom w:val="single" w:color="auto" w:sz="4" w:space="0"/>
              <w:right w:val="single" w:color="auto" w:sz="4" w:space="0"/>
            </w:tcBorders>
            <w:vAlign w:val="center"/>
          </w:tcPr>
          <w:p w14:paraId="23A2F82F">
            <w:pPr>
              <w:widowControl/>
              <w:jc w:val="center"/>
              <w:rPr>
                <w:rFonts w:eastAsia="等线"/>
                <w:kern w:val="0"/>
                <w:sz w:val="22"/>
              </w:rPr>
            </w:pPr>
            <w:r>
              <w:rPr>
                <w:rFonts w:eastAsia="等线"/>
                <w:kern w:val="0"/>
                <w:sz w:val="22"/>
              </w:rPr>
              <w:t>中国马克思主义与当代</w:t>
            </w:r>
          </w:p>
        </w:tc>
        <w:tc>
          <w:tcPr>
            <w:tcW w:w="1281" w:type="dxa"/>
            <w:tcBorders>
              <w:top w:val="nil"/>
              <w:left w:val="nil"/>
              <w:bottom w:val="single" w:color="auto" w:sz="4" w:space="0"/>
              <w:right w:val="single" w:color="auto" w:sz="4" w:space="0"/>
            </w:tcBorders>
            <w:vAlign w:val="center"/>
          </w:tcPr>
          <w:p w14:paraId="3E17FB6A">
            <w:pPr>
              <w:widowControl/>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center"/>
          </w:tcPr>
          <w:p w14:paraId="3914F144">
            <w:pPr>
              <w:widowControl/>
              <w:jc w:val="center"/>
              <w:rPr>
                <w:rFonts w:eastAsia="等线"/>
                <w:kern w:val="0"/>
                <w:sz w:val="22"/>
              </w:rPr>
            </w:pPr>
            <w:r>
              <w:rPr>
                <w:rFonts w:eastAsia="等线"/>
                <w:kern w:val="0"/>
                <w:sz w:val="22"/>
              </w:rPr>
              <w:t>2</w:t>
            </w:r>
          </w:p>
        </w:tc>
        <w:tc>
          <w:tcPr>
            <w:tcW w:w="1418" w:type="dxa"/>
            <w:tcBorders>
              <w:top w:val="single" w:color="auto" w:sz="4" w:space="0"/>
              <w:left w:val="single" w:color="auto" w:sz="4" w:space="0"/>
              <w:bottom w:val="single" w:color="auto" w:sz="4" w:space="0"/>
              <w:right w:val="single" w:color="auto" w:sz="4" w:space="0"/>
            </w:tcBorders>
            <w:vAlign w:val="center"/>
          </w:tcPr>
          <w:p w14:paraId="73789CC9">
            <w:pPr>
              <w:widowControl/>
              <w:jc w:val="center"/>
              <w:rPr>
                <w:rFonts w:eastAsia="等线"/>
                <w:kern w:val="0"/>
                <w:sz w:val="22"/>
              </w:rPr>
            </w:pPr>
            <w:r>
              <w:rPr>
                <w:rFonts w:eastAsia="等线"/>
                <w:kern w:val="0"/>
                <w:sz w:val="22"/>
              </w:rPr>
              <w:t>2</w:t>
            </w:r>
          </w:p>
        </w:tc>
      </w:tr>
      <w:tr w14:paraId="796B7A07">
        <w:tblPrEx>
          <w:tblCellMar>
            <w:top w:w="0" w:type="dxa"/>
            <w:left w:w="108" w:type="dxa"/>
            <w:bottom w:w="0" w:type="dxa"/>
            <w:right w:w="108" w:type="dxa"/>
          </w:tblCellMar>
        </w:tblPrEx>
        <w:trPr>
          <w:trHeight w:val="419" w:hRule="atLeast"/>
        </w:trPr>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14:paraId="48B8F446">
            <w:pPr>
              <w:widowControl/>
              <w:snapToGrid w:val="0"/>
              <w:spacing w:line="300" w:lineRule="auto"/>
              <w:jc w:val="center"/>
              <w:rPr>
                <w:rFonts w:eastAsia="仿宋"/>
                <w:kern w:val="0"/>
                <w:sz w:val="24"/>
              </w:rPr>
            </w:pPr>
            <w:r>
              <w:rPr>
                <w:rFonts w:eastAsia="等线"/>
                <w:kern w:val="0"/>
                <w:sz w:val="22"/>
              </w:rPr>
              <w:t>专业必修课</w:t>
            </w:r>
          </w:p>
        </w:tc>
        <w:tc>
          <w:tcPr>
            <w:tcW w:w="2977" w:type="dxa"/>
            <w:tcBorders>
              <w:top w:val="single" w:color="auto" w:sz="4" w:space="0"/>
              <w:left w:val="nil"/>
              <w:bottom w:val="single" w:color="auto" w:sz="4" w:space="0"/>
              <w:right w:val="single" w:color="auto" w:sz="4" w:space="0"/>
            </w:tcBorders>
            <w:vAlign w:val="center"/>
          </w:tcPr>
          <w:p w14:paraId="7A7FF532">
            <w:pPr>
              <w:widowControl/>
              <w:jc w:val="center"/>
              <w:rPr>
                <w:rFonts w:eastAsia="等线"/>
                <w:kern w:val="0"/>
                <w:sz w:val="22"/>
              </w:rPr>
            </w:pPr>
            <w:r>
              <w:rPr>
                <w:rFonts w:eastAsia="等线"/>
                <w:kern w:val="0"/>
                <w:sz w:val="22"/>
              </w:rPr>
              <w:t>学术规范与科研技能</w:t>
            </w:r>
          </w:p>
        </w:tc>
        <w:tc>
          <w:tcPr>
            <w:tcW w:w="1281" w:type="dxa"/>
            <w:tcBorders>
              <w:top w:val="single" w:color="auto" w:sz="4" w:space="0"/>
              <w:left w:val="nil"/>
              <w:bottom w:val="single" w:color="auto" w:sz="4" w:space="0"/>
              <w:right w:val="single" w:color="auto" w:sz="4" w:space="0"/>
            </w:tcBorders>
            <w:vAlign w:val="center"/>
          </w:tcPr>
          <w:p w14:paraId="19EE8237">
            <w:pPr>
              <w:widowControl/>
              <w:jc w:val="center"/>
              <w:rPr>
                <w:rFonts w:eastAsia="仿宋"/>
                <w:kern w:val="0"/>
                <w:sz w:val="24"/>
              </w:rPr>
            </w:pPr>
            <w:r>
              <w:rPr>
                <w:rFonts w:eastAsia="等线"/>
                <w:kern w:val="0"/>
                <w:sz w:val="22"/>
              </w:rPr>
              <w:t>必修</w:t>
            </w:r>
          </w:p>
        </w:tc>
        <w:tc>
          <w:tcPr>
            <w:tcW w:w="821" w:type="dxa"/>
            <w:tcBorders>
              <w:top w:val="single" w:color="auto" w:sz="4" w:space="0"/>
              <w:left w:val="nil"/>
              <w:bottom w:val="single" w:color="auto" w:sz="4" w:space="0"/>
              <w:right w:val="single" w:color="auto" w:sz="4" w:space="0"/>
            </w:tcBorders>
            <w:vAlign w:val="center"/>
          </w:tcPr>
          <w:p w14:paraId="6E0645FA">
            <w:pPr>
              <w:widowControl/>
              <w:jc w:val="center"/>
              <w:rPr>
                <w:rFonts w:eastAsia="仿宋"/>
                <w:kern w:val="0"/>
                <w:sz w:val="24"/>
              </w:rPr>
            </w:pPr>
            <w:r>
              <w:rPr>
                <w:rFonts w:eastAsia="等线"/>
                <w:kern w:val="0"/>
                <w:sz w:val="22"/>
              </w:rPr>
              <w:t>1</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01B78B66">
            <w:pPr>
              <w:widowControl/>
              <w:snapToGrid w:val="0"/>
              <w:spacing w:line="300" w:lineRule="auto"/>
              <w:jc w:val="center"/>
              <w:rPr>
                <w:rFonts w:eastAsia="仿宋"/>
                <w:kern w:val="0"/>
                <w:sz w:val="24"/>
              </w:rPr>
            </w:pPr>
            <w:r>
              <w:rPr>
                <w:rFonts w:hint="eastAsia" w:eastAsia="等线"/>
                <w:kern w:val="0"/>
                <w:sz w:val="22"/>
              </w:rPr>
              <w:t>5</w:t>
            </w:r>
          </w:p>
        </w:tc>
      </w:tr>
      <w:tr w14:paraId="453CB317">
        <w:tblPrEx>
          <w:tblCellMar>
            <w:top w:w="0" w:type="dxa"/>
            <w:left w:w="108" w:type="dxa"/>
            <w:bottom w:w="0" w:type="dxa"/>
            <w:right w:w="108" w:type="dxa"/>
          </w:tblCellMar>
        </w:tblPrEx>
        <w:trPr>
          <w:trHeight w:val="419" w:hRule="atLeast"/>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2B3564AB">
            <w:pPr>
              <w:widowControl/>
              <w:snapToGrid w:val="0"/>
              <w:spacing w:line="300" w:lineRule="auto"/>
              <w:jc w:val="center"/>
              <w:rPr>
                <w:rFonts w:eastAsia="仿宋"/>
                <w:kern w:val="0"/>
                <w:sz w:val="24"/>
              </w:rPr>
            </w:pPr>
          </w:p>
        </w:tc>
        <w:tc>
          <w:tcPr>
            <w:tcW w:w="2977" w:type="dxa"/>
            <w:tcBorders>
              <w:top w:val="nil"/>
              <w:left w:val="nil"/>
              <w:bottom w:val="single" w:color="auto" w:sz="4" w:space="0"/>
              <w:right w:val="single" w:color="auto" w:sz="4" w:space="0"/>
            </w:tcBorders>
            <w:vAlign w:val="center"/>
          </w:tcPr>
          <w:p w14:paraId="3A63C3EC">
            <w:pPr>
              <w:widowControl/>
              <w:jc w:val="center"/>
              <w:rPr>
                <w:rFonts w:eastAsia="等线"/>
                <w:kern w:val="0"/>
                <w:sz w:val="22"/>
              </w:rPr>
            </w:pPr>
            <w:r>
              <w:rPr>
                <w:rFonts w:eastAsia="等线"/>
                <w:kern w:val="0"/>
                <w:sz w:val="22"/>
              </w:rPr>
              <w:t>工程伦理</w:t>
            </w:r>
          </w:p>
        </w:tc>
        <w:tc>
          <w:tcPr>
            <w:tcW w:w="1281" w:type="dxa"/>
            <w:tcBorders>
              <w:top w:val="nil"/>
              <w:left w:val="nil"/>
              <w:bottom w:val="single" w:color="auto" w:sz="4" w:space="0"/>
              <w:right w:val="single" w:color="auto" w:sz="4" w:space="0"/>
            </w:tcBorders>
            <w:vAlign w:val="center"/>
          </w:tcPr>
          <w:p w14:paraId="205FF95F">
            <w:pPr>
              <w:widowControl/>
              <w:jc w:val="center"/>
              <w:rPr>
                <w:rFonts w:eastAsia="仿宋"/>
                <w:kern w:val="0"/>
                <w:sz w:val="24"/>
              </w:rPr>
            </w:pPr>
            <w:r>
              <w:rPr>
                <w:rFonts w:eastAsia="等线"/>
                <w:kern w:val="0"/>
                <w:sz w:val="22"/>
              </w:rPr>
              <w:t>必修</w:t>
            </w:r>
          </w:p>
        </w:tc>
        <w:tc>
          <w:tcPr>
            <w:tcW w:w="821" w:type="dxa"/>
            <w:tcBorders>
              <w:top w:val="nil"/>
              <w:left w:val="nil"/>
              <w:bottom w:val="single" w:color="auto" w:sz="4" w:space="0"/>
              <w:right w:val="single" w:color="auto" w:sz="4" w:space="0"/>
            </w:tcBorders>
            <w:vAlign w:val="center"/>
          </w:tcPr>
          <w:p w14:paraId="1CEE73AD">
            <w:pPr>
              <w:widowControl/>
              <w:jc w:val="center"/>
              <w:rPr>
                <w:rFonts w:eastAsia="仿宋"/>
                <w:kern w:val="0"/>
                <w:sz w:val="24"/>
              </w:rPr>
            </w:pPr>
            <w:r>
              <w:rPr>
                <w:rFonts w:eastAsia="等线"/>
                <w:kern w:val="0"/>
                <w:sz w:val="22"/>
              </w:rPr>
              <w:t>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2D8763D">
            <w:pPr>
              <w:widowControl/>
              <w:snapToGrid w:val="0"/>
              <w:spacing w:line="300" w:lineRule="auto"/>
              <w:jc w:val="center"/>
              <w:rPr>
                <w:rFonts w:eastAsia="仿宋"/>
                <w:kern w:val="0"/>
                <w:sz w:val="24"/>
              </w:rPr>
            </w:pPr>
          </w:p>
        </w:tc>
      </w:tr>
      <w:tr w14:paraId="1E24F632">
        <w:tblPrEx>
          <w:tblCellMar>
            <w:top w:w="0" w:type="dxa"/>
            <w:left w:w="108" w:type="dxa"/>
            <w:bottom w:w="0" w:type="dxa"/>
            <w:right w:w="108" w:type="dxa"/>
          </w:tblCellMar>
        </w:tblPrEx>
        <w:trPr>
          <w:trHeight w:val="410" w:hRule="atLeast"/>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44AF4449">
            <w:pPr>
              <w:widowControl/>
              <w:snapToGrid w:val="0"/>
              <w:spacing w:line="300" w:lineRule="auto"/>
              <w:jc w:val="center"/>
              <w:rPr>
                <w:rFonts w:eastAsia="仿宋"/>
                <w:kern w:val="0"/>
                <w:sz w:val="24"/>
              </w:rPr>
            </w:pPr>
          </w:p>
        </w:tc>
        <w:tc>
          <w:tcPr>
            <w:tcW w:w="2977" w:type="dxa"/>
            <w:tcBorders>
              <w:top w:val="nil"/>
              <w:left w:val="nil"/>
              <w:bottom w:val="single" w:color="auto" w:sz="4" w:space="0"/>
              <w:right w:val="single" w:color="auto" w:sz="4" w:space="0"/>
            </w:tcBorders>
            <w:vAlign w:val="center"/>
          </w:tcPr>
          <w:p w14:paraId="12DB8794">
            <w:pPr>
              <w:widowControl/>
              <w:jc w:val="center"/>
              <w:rPr>
                <w:rFonts w:eastAsia="等线"/>
                <w:kern w:val="0"/>
                <w:sz w:val="22"/>
              </w:rPr>
            </w:pPr>
            <w:r>
              <w:rPr>
                <w:rFonts w:eastAsia="等线"/>
                <w:kern w:val="0"/>
                <w:sz w:val="22"/>
              </w:rPr>
              <w:t>专业外语</w:t>
            </w:r>
          </w:p>
        </w:tc>
        <w:tc>
          <w:tcPr>
            <w:tcW w:w="1281" w:type="dxa"/>
            <w:tcBorders>
              <w:top w:val="nil"/>
              <w:left w:val="nil"/>
              <w:bottom w:val="single" w:color="auto" w:sz="4" w:space="0"/>
              <w:right w:val="single" w:color="auto" w:sz="4" w:space="0"/>
            </w:tcBorders>
            <w:vAlign w:val="center"/>
          </w:tcPr>
          <w:p w14:paraId="0AECF131">
            <w:pPr>
              <w:widowControl/>
              <w:jc w:val="center"/>
              <w:rPr>
                <w:rFonts w:eastAsia="仿宋"/>
                <w:kern w:val="0"/>
                <w:sz w:val="24"/>
              </w:rPr>
            </w:pPr>
            <w:r>
              <w:rPr>
                <w:rFonts w:eastAsia="等线"/>
                <w:kern w:val="0"/>
                <w:sz w:val="22"/>
              </w:rPr>
              <w:t>必修</w:t>
            </w:r>
          </w:p>
        </w:tc>
        <w:tc>
          <w:tcPr>
            <w:tcW w:w="821" w:type="dxa"/>
            <w:tcBorders>
              <w:top w:val="nil"/>
              <w:left w:val="nil"/>
              <w:bottom w:val="single" w:color="auto" w:sz="4" w:space="0"/>
              <w:right w:val="single" w:color="auto" w:sz="4" w:space="0"/>
            </w:tcBorders>
            <w:vAlign w:val="center"/>
          </w:tcPr>
          <w:p w14:paraId="3EED8FA9">
            <w:pPr>
              <w:widowControl/>
              <w:jc w:val="center"/>
              <w:rPr>
                <w:rFonts w:eastAsia="仿宋"/>
                <w:kern w:val="0"/>
                <w:sz w:val="24"/>
              </w:rPr>
            </w:pPr>
            <w:r>
              <w:rPr>
                <w:rFonts w:eastAsia="等线"/>
                <w:kern w:val="0"/>
                <w:sz w:val="22"/>
              </w:rPr>
              <w:t>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AAD1C57">
            <w:pPr>
              <w:widowControl/>
              <w:snapToGrid w:val="0"/>
              <w:spacing w:line="300" w:lineRule="auto"/>
              <w:jc w:val="center"/>
              <w:rPr>
                <w:rFonts w:eastAsia="仿宋"/>
                <w:kern w:val="0"/>
                <w:sz w:val="24"/>
              </w:rPr>
            </w:pPr>
          </w:p>
        </w:tc>
      </w:tr>
      <w:tr w14:paraId="002DA039">
        <w:tblPrEx>
          <w:tblCellMar>
            <w:top w:w="0" w:type="dxa"/>
            <w:left w:w="108" w:type="dxa"/>
            <w:bottom w:w="0" w:type="dxa"/>
            <w:right w:w="108" w:type="dxa"/>
          </w:tblCellMar>
        </w:tblPrEx>
        <w:trPr>
          <w:trHeight w:val="416" w:hRule="atLeast"/>
        </w:trPr>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0B05A5AC">
            <w:pPr>
              <w:widowControl/>
              <w:snapToGrid w:val="0"/>
              <w:spacing w:line="300" w:lineRule="auto"/>
              <w:jc w:val="center"/>
              <w:rPr>
                <w:rFonts w:eastAsia="仿宋"/>
                <w:kern w:val="0"/>
                <w:sz w:val="24"/>
              </w:rPr>
            </w:pPr>
          </w:p>
        </w:tc>
        <w:tc>
          <w:tcPr>
            <w:tcW w:w="2977" w:type="dxa"/>
            <w:tcBorders>
              <w:top w:val="nil"/>
              <w:left w:val="nil"/>
              <w:bottom w:val="single" w:color="auto" w:sz="4" w:space="0"/>
              <w:right w:val="single" w:color="auto" w:sz="4" w:space="0"/>
            </w:tcBorders>
            <w:vAlign w:val="center"/>
          </w:tcPr>
          <w:p w14:paraId="72B1723A">
            <w:pPr>
              <w:widowControl/>
              <w:jc w:val="center"/>
              <w:rPr>
                <w:rFonts w:eastAsia="等线"/>
                <w:kern w:val="0"/>
                <w:sz w:val="22"/>
              </w:rPr>
            </w:pPr>
            <w:r>
              <w:rPr>
                <w:rFonts w:hint="eastAsia" w:eastAsia="等线"/>
                <w:kern w:val="0"/>
                <w:sz w:val="22"/>
              </w:rPr>
              <w:t>专业前沿</w:t>
            </w:r>
          </w:p>
        </w:tc>
        <w:tc>
          <w:tcPr>
            <w:tcW w:w="1281" w:type="dxa"/>
            <w:tcBorders>
              <w:top w:val="nil"/>
              <w:left w:val="nil"/>
              <w:bottom w:val="single" w:color="auto" w:sz="4" w:space="0"/>
              <w:right w:val="single" w:color="auto" w:sz="4" w:space="0"/>
            </w:tcBorders>
            <w:vAlign w:val="center"/>
          </w:tcPr>
          <w:p w14:paraId="1C78047F">
            <w:pPr>
              <w:widowControl/>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center"/>
          </w:tcPr>
          <w:p w14:paraId="4351457E">
            <w:pPr>
              <w:widowControl/>
              <w:jc w:val="center"/>
              <w:rPr>
                <w:rFonts w:eastAsia="等线"/>
                <w:kern w:val="0"/>
                <w:sz w:val="22"/>
              </w:rPr>
            </w:pPr>
            <w:r>
              <w:rPr>
                <w:rFonts w:hint="eastAsia" w:eastAsia="等线"/>
                <w:kern w:val="0"/>
                <w:sz w:val="22"/>
              </w:rPr>
              <w:t>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FE3C5F2">
            <w:pPr>
              <w:widowControl/>
              <w:snapToGrid w:val="0"/>
              <w:spacing w:line="300" w:lineRule="auto"/>
              <w:jc w:val="center"/>
              <w:rPr>
                <w:rFonts w:eastAsia="仿宋"/>
                <w:kern w:val="0"/>
                <w:sz w:val="24"/>
              </w:rPr>
            </w:pPr>
          </w:p>
        </w:tc>
      </w:tr>
      <w:tr w14:paraId="7F720D85">
        <w:tblPrEx>
          <w:tblCellMar>
            <w:top w:w="0" w:type="dxa"/>
            <w:left w:w="108" w:type="dxa"/>
            <w:bottom w:w="0" w:type="dxa"/>
            <w:right w:w="108" w:type="dxa"/>
          </w:tblCellMar>
        </w:tblPrEx>
        <w:trPr>
          <w:trHeight w:val="570" w:hRule="atLeast"/>
        </w:trPr>
        <w:tc>
          <w:tcPr>
            <w:tcW w:w="562" w:type="dxa"/>
            <w:vMerge w:val="restart"/>
            <w:tcBorders>
              <w:top w:val="single" w:color="auto" w:sz="4" w:space="0"/>
              <w:left w:val="single" w:color="auto" w:sz="4" w:space="0"/>
              <w:bottom w:val="single" w:color="auto" w:sz="4" w:space="0"/>
              <w:right w:val="single" w:color="auto" w:sz="4" w:space="0"/>
            </w:tcBorders>
            <w:vAlign w:val="center"/>
          </w:tcPr>
          <w:p w14:paraId="3DDB1D9D">
            <w:pPr>
              <w:widowControl/>
              <w:snapToGrid w:val="0"/>
              <w:spacing w:line="300" w:lineRule="auto"/>
              <w:jc w:val="left"/>
              <w:rPr>
                <w:rFonts w:eastAsia="等线"/>
                <w:kern w:val="0"/>
                <w:sz w:val="22"/>
              </w:rPr>
            </w:pPr>
            <w:r>
              <w:rPr>
                <w:rFonts w:eastAsia="等线"/>
                <w:kern w:val="0"/>
                <w:sz w:val="22"/>
              </w:rPr>
              <w:t>专业选修课</w:t>
            </w:r>
          </w:p>
        </w:tc>
        <w:tc>
          <w:tcPr>
            <w:tcW w:w="1418" w:type="dxa"/>
            <w:tcBorders>
              <w:top w:val="single" w:color="auto" w:sz="4" w:space="0"/>
              <w:left w:val="single" w:color="auto" w:sz="4" w:space="0"/>
              <w:bottom w:val="single" w:color="auto" w:sz="4" w:space="0"/>
              <w:right w:val="single" w:color="auto" w:sz="4" w:space="0"/>
            </w:tcBorders>
            <w:vAlign w:val="center"/>
          </w:tcPr>
          <w:p w14:paraId="026D567E">
            <w:pPr>
              <w:widowControl/>
              <w:snapToGrid w:val="0"/>
              <w:spacing w:line="300" w:lineRule="auto"/>
              <w:jc w:val="center"/>
              <w:rPr>
                <w:rFonts w:eastAsia="等线"/>
                <w:kern w:val="0"/>
                <w:sz w:val="22"/>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79BD799">
            <w:pPr>
              <w:widowControl/>
              <w:jc w:val="center"/>
              <w:rPr>
                <w:rFonts w:eastAsia="等线"/>
                <w:kern w:val="0"/>
                <w:sz w:val="22"/>
              </w:rPr>
            </w:pPr>
            <w:r>
              <w:rPr>
                <w:rFonts w:eastAsia="等线"/>
                <w:kern w:val="0"/>
                <w:sz w:val="22"/>
              </w:rPr>
              <w:t>实验室安全教育</w:t>
            </w:r>
          </w:p>
        </w:tc>
        <w:tc>
          <w:tcPr>
            <w:tcW w:w="1281" w:type="dxa"/>
            <w:tcBorders>
              <w:top w:val="single" w:color="auto" w:sz="4" w:space="0"/>
              <w:left w:val="single" w:color="auto" w:sz="4" w:space="0"/>
              <w:bottom w:val="single" w:color="auto" w:sz="4" w:space="0"/>
              <w:right w:val="single" w:color="auto" w:sz="4" w:space="0"/>
            </w:tcBorders>
            <w:vAlign w:val="center"/>
          </w:tcPr>
          <w:p w14:paraId="70AAC86C">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62D7BEC9">
            <w:pPr>
              <w:widowControl/>
              <w:jc w:val="center"/>
              <w:rPr>
                <w:rFonts w:eastAsia="等线"/>
                <w:kern w:val="0"/>
                <w:sz w:val="22"/>
              </w:rPr>
            </w:pPr>
            <w:r>
              <w:rPr>
                <w:rFonts w:hint="eastAsia" w:eastAsia="等线"/>
                <w:kern w:val="0"/>
                <w:sz w:val="22"/>
              </w:rPr>
              <w:t>0.5</w:t>
            </w:r>
          </w:p>
        </w:tc>
        <w:tc>
          <w:tcPr>
            <w:tcW w:w="1418" w:type="dxa"/>
            <w:vMerge w:val="restart"/>
            <w:tcBorders>
              <w:top w:val="single" w:color="auto" w:sz="4" w:space="0"/>
              <w:left w:val="nil"/>
              <w:bottom w:val="single" w:color="auto" w:sz="4" w:space="0"/>
              <w:right w:val="single" w:color="auto" w:sz="4" w:space="0"/>
            </w:tcBorders>
            <w:vAlign w:val="center"/>
          </w:tcPr>
          <w:p w14:paraId="09BF0010">
            <w:pPr>
              <w:widowControl/>
              <w:snapToGrid w:val="0"/>
              <w:spacing w:line="300" w:lineRule="auto"/>
              <w:jc w:val="center"/>
              <w:rPr>
                <w:rFonts w:eastAsia="仿宋"/>
                <w:kern w:val="0"/>
                <w:sz w:val="24"/>
              </w:rPr>
            </w:pPr>
            <w:r>
              <w:rPr>
                <w:kern w:val="0"/>
                <w:szCs w:val="21"/>
              </w:rPr>
              <w:t>≥</w:t>
            </w:r>
            <w:r>
              <w:rPr>
                <w:rFonts w:eastAsia="仿宋"/>
                <w:kern w:val="0"/>
                <w:sz w:val="24"/>
              </w:rPr>
              <w:t>8</w:t>
            </w:r>
          </w:p>
        </w:tc>
      </w:tr>
      <w:tr w14:paraId="78DC9F97">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E1097B5">
            <w:pPr>
              <w:widowControl/>
              <w:snapToGrid w:val="0"/>
              <w:spacing w:line="300" w:lineRule="auto"/>
              <w:ind w:firstLine="220" w:firstLineChars="100"/>
              <w:jc w:val="center"/>
              <w:rPr>
                <w:rFonts w:eastAsia="等线"/>
                <w:kern w:val="0"/>
                <w:sz w:val="22"/>
              </w:rPr>
            </w:pPr>
          </w:p>
        </w:tc>
        <w:tc>
          <w:tcPr>
            <w:tcW w:w="1418" w:type="dxa"/>
            <w:vMerge w:val="restart"/>
            <w:tcBorders>
              <w:top w:val="single" w:color="auto" w:sz="4" w:space="0"/>
              <w:left w:val="single" w:color="auto" w:sz="4" w:space="0"/>
              <w:right w:val="single" w:color="auto" w:sz="4" w:space="0"/>
            </w:tcBorders>
            <w:vAlign w:val="center"/>
          </w:tcPr>
          <w:p w14:paraId="557DB1DC">
            <w:pPr>
              <w:widowControl/>
              <w:snapToGrid w:val="0"/>
              <w:spacing w:line="300" w:lineRule="auto"/>
              <w:jc w:val="center"/>
              <w:rPr>
                <w:rFonts w:eastAsia="等线"/>
                <w:kern w:val="0"/>
                <w:sz w:val="22"/>
              </w:rPr>
            </w:pPr>
            <w:r>
              <w:rPr>
                <w:rFonts w:hint="eastAsia" w:eastAsia="等线"/>
                <w:kern w:val="0"/>
                <w:sz w:val="22"/>
              </w:rPr>
              <w:t>材料工程</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21D1937">
            <w:pPr>
              <w:widowControl/>
              <w:jc w:val="center"/>
              <w:rPr>
                <w:rFonts w:eastAsia="等线"/>
                <w:kern w:val="0"/>
                <w:sz w:val="22"/>
              </w:rPr>
            </w:pPr>
            <w:r>
              <w:rPr>
                <w:rFonts w:hint="eastAsia" w:eastAsia="等线"/>
                <w:kern w:val="0"/>
                <w:sz w:val="22"/>
              </w:rPr>
              <w:t>晶体缺陷工程</w:t>
            </w:r>
          </w:p>
        </w:tc>
        <w:tc>
          <w:tcPr>
            <w:tcW w:w="1281" w:type="dxa"/>
            <w:tcBorders>
              <w:top w:val="single" w:color="auto" w:sz="4" w:space="0"/>
              <w:left w:val="single" w:color="auto" w:sz="4" w:space="0"/>
              <w:bottom w:val="single" w:color="auto" w:sz="4" w:space="0"/>
              <w:right w:val="single" w:color="auto" w:sz="4" w:space="0"/>
            </w:tcBorders>
            <w:vAlign w:val="center"/>
          </w:tcPr>
          <w:p w14:paraId="415D3A15">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308A0F12">
            <w:pPr>
              <w:widowControl/>
              <w:jc w:val="center"/>
              <w:rPr>
                <w:rFonts w:eastAsia="等线"/>
                <w:kern w:val="0"/>
                <w:sz w:val="22"/>
              </w:rPr>
            </w:pPr>
            <w:r>
              <w:rPr>
                <w:rFonts w:hint="eastAsia" w:eastAsia="等线"/>
                <w:kern w:val="0"/>
                <w:sz w:val="22"/>
              </w:rPr>
              <w:t>2</w:t>
            </w:r>
            <w:r>
              <w:rPr>
                <w:rFonts w:eastAsia="等线"/>
                <w:kern w:val="0"/>
                <w:sz w:val="22"/>
              </w:rPr>
              <w:t>.5</w:t>
            </w:r>
          </w:p>
        </w:tc>
        <w:tc>
          <w:tcPr>
            <w:tcW w:w="1418" w:type="dxa"/>
            <w:vMerge w:val="continue"/>
            <w:tcBorders>
              <w:top w:val="single" w:color="auto" w:sz="4" w:space="0"/>
              <w:left w:val="nil"/>
              <w:bottom w:val="single" w:color="auto" w:sz="4" w:space="0"/>
              <w:right w:val="single" w:color="auto" w:sz="4" w:space="0"/>
            </w:tcBorders>
            <w:vAlign w:val="center"/>
          </w:tcPr>
          <w:p w14:paraId="3B70FE68">
            <w:pPr>
              <w:widowControl/>
              <w:snapToGrid w:val="0"/>
              <w:spacing w:line="300" w:lineRule="auto"/>
              <w:jc w:val="center"/>
              <w:rPr>
                <w:rFonts w:eastAsia="仿宋"/>
                <w:kern w:val="0"/>
                <w:sz w:val="24"/>
              </w:rPr>
            </w:pPr>
          </w:p>
        </w:tc>
      </w:tr>
      <w:tr w14:paraId="76A001CE">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B61A6B6">
            <w:pPr>
              <w:widowControl/>
              <w:snapToGrid w:val="0"/>
              <w:spacing w:line="300" w:lineRule="auto"/>
              <w:ind w:firstLine="220" w:firstLineChars="100"/>
              <w:jc w:val="center"/>
              <w:rPr>
                <w:rFonts w:eastAsia="等线"/>
                <w:kern w:val="0"/>
                <w:sz w:val="22"/>
              </w:rPr>
            </w:pPr>
          </w:p>
        </w:tc>
        <w:tc>
          <w:tcPr>
            <w:tcW w:w="1418" w:type="dxa"/>
            <w:vMerge w:val="continue"/>
            <w:tcBorders>
              <w:top w:val="single" w:color="auto" w:sz="4" w:space="0"/>
              <w:left w:val="single" w:color="auto" w:sz="4" w:space="0"/>
              <w:right w:val="single" w:color="auto" w:sz="4" w:space="0"/>
            </w:tcBorders>
            <w:vAlign w:val="center"/>
          </w:tcPr>
          <w:p w14:paraId="7C456077">
            <w:pPr>
              <w:widowControl/>
              <w:snapToGrid w:val="0"/>
              <w:spacing w:line="300" w:lineRule="auto"/>
              <w:jc w:val="center"/>
              <w:rPr>
                <w:rFonts w:eastAsia="等线"/>
                <w:kern w:val="0"/>
                <w:sz w:val="22"/>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0C92B8F5">
            <w:pPr>
              <w:widowControl/>
              <w:jc w:val="center"/>
              <w:rPr>
                <w:rFonts w:eastAsia="等线"/>
                <w:kern w:val="0"/>
                <w:sz w:val="22"/>
              </w:rPr>
            </w:pPr>
            <w:r>
              <w:rPr>
                <w:rFonts w:hint="eastAsia" w:eastAsia="等线"/>
                <w:kern w:val="0"/>
                <w:sz w:val="22"/>
              </w:rPr>
              <w:t>材料计算与智能设计</w:t>
            </w:r>
          </w:p>
        </w:tc>
        <w:tc>
          <w:tcPr>
            <w:tcW w:w="1281" w:type="dxa"/>
            <w:tcBorders>
              <w:top w:val="single" w:color="auto" w:sz="4" w:space="0"/>
              <w:left w:val="single" w:color="auto" w:sz="4" w:space="0"/>
              <w:bottom w:val="single" w:color="auto" w:sz="4" w:space="0"/>
              <w:right w:val="single" w:color="auto" w:sz="4" w:space="0"/>
            </w:tcBorders>
            <w:vAlign w:val="center"/>
          </w:tcPr>
          <w:p w14:paraId="73CE4F11">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4CBC24A1">
            <w:pPr>
              <w:widowControl/>
              <w:jc w:val="center"/>
              <w:rPr>
                <w:rFonts w:eastAsia="等线"/>
                <w:kern w:val="0"/>
                <w:sz w:val="22"/>
              </w:rPr>
            </w:pPr>
            <w:r>
              <w:rPr>
                <w:rFonts w:hint="eastAsia" w:eastAsia="等线"/>
                <w:kern w:val="0"/>
                <w:sz w:val="22"/>
              </w:rPr>
              <w:t>2</w:t>
            </w:r>
            <w:r>
              <w:rPr>
                <w:rFonts w:eastAsia="等线"/>
                <w:kern w:val="0"/>
                <w:sz w:val="22"/>
              </w:rPr>
              <w:t>.5</w:t>
            </w:r>
          </w:p>
        </w:tc>
        <w:tc>
          <w:tcPr>
            <w:tcW w:w="1418" w:type="dxa"/>
            <w:vMerge w:val="continue"/>
            <w:tcBorders>
              <w:top w:val="single" w:color="auto" w:sz="4" w:space="0"/>
              <w:left w:val="nil"/>
              <w:bottom w:val="single" w:color="auto" w:sz="4" w:space="0"/>
              <w:right w:val="single" w:color="auto" w:sz="4" w:space="0"/>
            </w:tcBorders>
            <w:vAlign w:val="center"/>
          </w:tcPr>
          <w:p w14:paraId="68D60C3A">
            <w:pPr>
              <w:widowControl/>
              <w:snapToGrid w:val="0"/>
              <w:spacing w:line="300" w:lineRule="auto"/>
              <w:jc w:val="center"/>
              <w:rPr>
                <w:rFonts w:eastAsia="仿宋"/>
                <w:kern w:val="0"/>
                <w:sz w:val="24"/>
              </w:rPr>
            </w:pPr>
          </w:p>
        </w:tc>
      </w:tr>
      <w:tr w14:paraId="1733FBAD">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5C5687E">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627451DB">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23752896">
            <w:pPr>
              <w:widowControl/>
              <w:jc w:val="center"/>
              <w:rPr>
                <w:rFonts w:eastAsia="等线"/>
                <w:kern w:val="0"/>
                <w:sz w:val="22"/>
              </w:rPr>
            </w:pPr>
            <w:r>
              <w:rPr>
                <w:rFonts w:hint="eastAsia" w:eastAsia="等线"/>
                <w:kern w:val="0"/>
                <w:sz w:val="22"/>
              </w:rPr>
              <w:t>材料与化工现代研究方法</w:t>
            </w:r>
          </w:p>
        </w:tc>
        <w:tc>
          <w:tcPr>
            <w:tcW w:w="1281" w:type="dxa"/>
            <w:tcBorders>
              <w:top w:val="single" w:color="auto" w:sz="4" w:space="0"/>
              <w:left w:val="single" w:color="auto" w:sz="4" w:space="0"/>
              <w:bottom w:val="single" w:color="auto" w:sz="4" w:space="0"/>
              <w:right w:val="single" w:color="auto" w:sz="4" w:space="0"/>
            </w:tcBorders>
            <w:vAlign w:val="center"/>
          </w:tcPr>
          <w:p w14:paraId="60A2B6CA">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5D4B5B57">
            <w:pPr>
              <w:widowControl/>
              <w:jc w:val="center"/>
              <w:rPr>
                <w:rFonts w:eastAsia="等线"/>
                <w:kern w:val="0"/>
                <w:sz w:val="22"/>
              </w:rPr>
            </w:pPr>
            <w:r>
              <w:rPr>
                <w:rFonts w:hint="eastAsia" w:eastAsia="等线"/>
                <w:kern w:val="0"/>
                <w:sz w:val="22"/>
              </w:rPr>
              <w:t>2</w:t>
            </w:r>
            <w:r>
              <w:rPr>
                <w:rFonts w:eastAsia="等线"/>
                <w:kern w:val="0"/>
                <w:sz w:val="22"/>
              </w:rPr>
              <w:t>.5</w:t>
            </w:r>
          </w:p>
        </w:tc>
        <w:tc>
          <w:tcPr>
            <w:tcW w:w="1418" w:type="dxa"/>
            <w:vMerge w:val="continue"/>
            <w:tcBorders>
              <w:top w:val="single" w:color="auto" w:sz="4" w:space="0"/>
              <w:left w:val="nil"/>
              <w:bottom w:val="single" w:color="auto" w:sz="4" w:space="0"/>
              <w:right w:val="single" w:color="auto" w:sz="4" w:space="0"/>
            </w:tcBorders>
            <w:vAlign w:val="center"/>
          </w:tcPr>
          <w:p w14:paraId="2EFC1164">
            <w:pPr>
              <w:widowControl/>
              <w:snapToGrid w:val="0"/>
              <w:spacing w:line="300" w:lineRule="auto"/>
              <w:jc w:val="center"/>
              <w:rPr>
                <w:rFonts w:eastAsia="仿宋"/>
                <w:kern w:val="0"/>
                <w:sz w:val="24"/>
              </w:rPr>
            </w:pPr>
          </w:p>
        </w:tc>
      </w:tr>
      <w:tr w14:paraId="1F8AEF83">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770C89B">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6CCCDF49">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0A9EF2D4">
            <w:pPr>
              <w:widowControl/>
              <w:jc w:val="center"/>
              <w:rPr>
                <w:rFonts w:eastAsia="等线"/>
                <w:kern w:val="0"/>
                <w:sz w:val="22"/>
              </w:rPr>
            </w:pPr>
            <w:r>
              <w:rPr>
                <w:rFonts w:hint="eastAsia" w:eastAsia="等线"/>
                <w:kern w:val="0"/>
                <w:sz w:val="22"/>
              </w:rPr>
              <w:t>先进功能材料研究前沿</w:t>
            </w:r>
          </w:p>
        </w:tc>
        <w:tc>
          <w:tcPr>
            <w:tcW w:w="1281" w:type="dxa"/>
            <w:tcBorders>
              <w:top w:val="single" w:color="auto" w:sz="4" w:space="0"/>
              <w:left w:val="single" w:color="auto" w:sz="4" w:space="0"/>
              <w:bottom w:val="single" w:color="auto" w:sz="4" w:space="0"/>
              <w:right w:val="single" w:color="auto" w:sz="4" w:space="0"/>
            </w:tcBorders>
            <w:vAlign w:val="center"/>
          </w:tcPr>
          <w:p w14:paraId="0ED65382">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4F4E674F">
            <w:pPr>
              <w:widowControl/>
              <w:jc w:val="center"/>
              <w:rPr>
                <w:rFonts w:eastAsia="等线"/>
                <w:kern w:val="0"/>
                <w:sz w:val="22"/>
              </w:rPr>
            </w:pPr>
            <w:r>
              <w:rPr>
                <w:rFonts w:eastAsia="等线"/>
                <w:kern w:val="0"/>
                <w:sz w:val="22"/>
              </w:rPr>
              <w:t>2</w:t>
            </w:r>
            <w:r>
              <w:rPr>
                <w:rFonts w:hint="eastAsia" w:eastAsia="等线"/>
                <w:kern w:val="0"/>
                <w:sz w:val="22"/>
              </w:rPr>
              <w:t>.5</w:t>
            </w:r>
          </w:p>
        </w:tc>
        <w:tc>
          <w:tcPr>
            <w:tcW w:w="1418" w:type="dxa"/>
            <w:vMerge w:val="continue"/>
            <w:tcBorders>
              <w:top w:val="single" w:color="auto" w:sz="4" w:space="0"/>
              <w:left w:val="nil"/>
              <w:bottom w:val="single" w:color="auto" w:sz="4" w:space="0"/>
              <w:right w:val="single" w:color="auto" w:sz="4" w:space="0"/>
            </w:tcBorders>
            <w:vAlign w:val="center"/>
          </w:tcPr>
          <w:p w14:paraId="0DDE2DAD">
            <w:pPr>
              <w:widowControl/>
              <w:snapToGrid w:val="0"/>
              <w:spacing w:line="300" w:lineRule="auto"/>
              <w:jc w:val="center"/>
              <w:rPr>
                <w:rFonts w:eastAsia="仿宋"/>
                <w:kern w:val="0"/>
                <w:sz w:val="24"/>
              </w:rPr>
            </w:pPr>
          </w:p>
        </w:tc>
      </w:tr>
      <w:tr w14:paraId="07B63827">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38026141">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404AE73A">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14956B92">
            <w:pPr>
              <w:widowControl/>
              <w:jc w:val="center"/>
              <w:rPr>
                <w:rFonts w:eastAsia="等线"/>
                <w:kern w:val="0"/>
                <w:sz w:val="22"/>
              </w:rPr>
            </w:pPr>
            <w:r>
              <w:rPr>
                <w:rFonts w:hint="eastAsia" w:eastAsia="等线"/>
                <w:kern w:val="0"/>
                <w:sz w:val="22"/>
              </w:rPr>
              <w:t>先进材料制备技术</w:t>
            </w:r>
          </w:p>
        </w:tc>
        <w:tc>
          <w:tcPr>
            <w:tcW w:w="1281" w:type="dxa"/>
            <w:tcBorders>
              <w:top w:val="single" w:color="auto" w:sz="4" w:space="0"/>
              <w:left w:val="single" w:color="auto" w:sz="4" w:space="0"/>
              <w:bottom w:val="single" w:color="auto" w:sz="4" w:space="0"/>
              <w:right w:val="single" w:color="auto" w:sz="4" w:space="0"/>
            </w:tcBorders>
            <w:vAlign w:val="center"/>
          </w:tcPr>
          <w:p w14:paraId="434C8F2A">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6B1D10E7">
            <w:pPr>
              <w:widowControl/>
              <w:jc w:val="center"/>
              <w:rPr>
                <w:rFonts w:eastAsia="等线"/>
                <w:kern w:val="0"/>
                <w:sz w:val="22"/>
              </w:rPr>
            </w:pPr>
            <w:r>
              <w:rPr>
                <w:rFonts w:eastAsia="等线"/>
                <w:kern w:val="0"/>
                <w:sz w:val="22"/>
              </w:rPr>
              <w:t>2</w:t>
            </w:r>
            <w:r>
              <w:rPr>
                <w:rFonts w:hint="eastAsia" w:eastAsia="等线"/>
                <w:kern w:val="0"/>
                <w:sz w:val="22"/>
              </w:rPr>
              <w:t>.5</w:t>
            </w:r>
          </w:p>
        </w:tc>
        <w:tc>
          <w:tcPr>
            <w:tcW w:w="1418" w:type="dxa"/>
            <w:vMerge w:val="continue"/>
            <w:tcBorders>
              <w:top w:val="single" w:color="auto" w:sz="4" w:space="0"/>
              <w:left w:val="nil"/>
              <w:bottom w:val="single" w:color="auto" w:sz="4" w:space="0"/>
              <w:right w:val="single" w:color="auto" w:sz="4" w:space="0"/>
            </w:tcBorders>
            <w:vAlign w:val="center"/>
          </w:tcPr>
          <w:p w14:paraId="551E552B">
            <w:pPr>
              <w:widowControl/>
              <w:snapToGrid w:val="0"/>
              <w:spacing w:line="300" w:lineRule="auto"/>
              <w:jc w:val="center"/>
              <w:rPr>
                <w:rFonts w:eastAsia="仿宋"/>
                <w:kern w:val="0"/>
                <w:sz w:val="24"/>
              </w:rPr>
            </w:pPr>
          </w:p>
        </w:tc>
      </w:tr>
      <w:tr w14:paraId="1B6C7C56">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1A692BDC">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2AC0ED89">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46656794">
            <w:pPr>
              <w:widowControl/>
              <w:jc w:val="center"/>
              <w:rPr>
                <w:rFonts w:eastAsia="等线"/>
                <w:kern w:val="0"/>
                <w:sz w:val="22"/>
              </w:rPr>
            </w:pPr>
            <w:r>
              <w:rPr>
                <w:rFonts w:hint="eastAsia" w:eastAsia="等线"/>
                <w:kern w:val="0"/>
                <w:sz w:val="22"/>
              </w:rPr>
              <w:t>材料分析与检测</w:t>
            </w:r>
          </w:p>
        </w:tc>
        <w:tc>
          <w:tcPr>
            <w:tcW w:w="1281" w:type="dxa"/>
            <w:tcBorders>
              <w:top w:val="single" w:color="auto" w:sz="4" w:space="0"/>
              <w:left w:val="single" w:color="auto" w:sz="4" w:space="0"/>
              <w:bottom w:val="single" w:color="auto" w:sz="4" w:space="0"/>
              <w:right w:val="single" w:color="auto" w:sz="4" w:space="0"/>
            </w:tcBorders>
            <w:vAlign w:val="center"/>
          </w:tcPr>
          <w:p w14:paraId="3B436531">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238DED22">
            <w:pPr>
              <w:widowControl/>
              <w:jc w:val="center"/>
              <w:rPr>
                <w:rFonts w:eastAsia="等线"/>
                <w:kern w:val="0"/>
                <w:sz w:val="22"/>
              </w:rPr>
            </w:pPr>
            <w:r>
              <w:rPr>
                <w:rFonts w:hint="eastAsia" w:eastAsia="等线"/>
                <w:kern w:val="0"/>
                <w:sz w:val="22"/>
              </w:rPr>
              <w:t>2</w:t>
            </w:r>
            <w:r>
              <w:rPr>
                <w:rFonts w:eastAsia="等线"/>
                <w:kern w:val="0"/>
                <w:sz w:val="22"/>
              </w:rPr>
              <w:t>.5</w:t>
            </w:r>
          </w:p>
        </w:tc>
        <w:tc>
          <w:tcPr>
            <w:tcW w:w="1418" w:type="dxa"/>
            <w:vMerge w:val="continue"/>
            <w:tcBorders>
              <w:top w:val="single" w:color="auto" w:sz="4" w:space="0"/>
              <w:left w:val="nil"/>
              <w:bottom w:val="single" w:color="auto" w:sz="4" w:space="0"/>
              <w:right w:val="single" w:color="auto" w:sz="4" w:space="0"/>
            </w:tcBorders>
            <w:vAlign w:val="center"/>
          </w:tcPr>
          <w:p w14:paraId="16CEED26">
            <w:pPr>
              <w:widowControl/>
              <w:snapToGrid w:val="0"/>
              <w:spacing w:line="300" w:lineRule="auto"/>
              <w:jc w:val="center"/>
              <w:rPr>
                <w:rFonts w:eastAsia="仿宋"/>
                <w:kern w:val="0"/>
                <w:sz w:val="24"/>
              </w:rPr>
            </w:pPr>
          </w:p>
        </w:tc>
      </w:tr>
      <w:tr w14:paraId="2E784BA1">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9578B17">
            <w:pPr>
              <w:widowControl/>
              <w:snapToGrid w:val="0"/>
              <w:spacing w:line="300" w:lineRule="auto"/>
              <w:jc w:val="center"/>
              <w:rPr>
                <w:rFonts w:eastAsia="仿宋"/>
                <w:kern w:val="0"/>
                <w:sz w:val="24"/>
              </w:rPr>
            </w:pPr>
          </w:p>
        </w:tc>
        <w:tc>
          <w:tcPr>
            <w:tcW w:w="1418" w:type="dxa"/>
            <w:vMerge w:val="restart"/>
            <w:tcBorders>
              <w:top w:val="single" w:color="auto" w:sz="4" w:space="0"/>
              <w:left w:val="single" w:color="auto" w:sz="4" w:space="0"/>
              <w:right w:val="single" w:color="auto" w:sz="4" w:space="0"/>
            </w:tcBorders>
            <w:vAlign w:val="center"/>
          </w:tcPr>
          <w:p w14:paraId="2887C440">
            <w:pPr>
              <w:widowControl/>
              <w:snapToGrid w:val="0"/>
              <w:spacing w:line="300" w:lineRule="auto"/>
              <w:jc w:val="center"/>
              <w:rPr>
                <w:rFonts w:eastAsia="仿宋"/>
                <w:kern w:val="0"/>
                <w:sz w:val="24"/>
              </w:rPr>
            </w:pPr>
            <w:r>
              <w:rPr>
                <w:rFonts w:hint="eastAsia" w:eastAsia="等线"/>
                <w:kern w:val="0"/>
                <w:sz w:val="22"/>
              </w:rPr>
              <w:t>轻化工程</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6EEADD1A">
            <w:pPr>
              <w:autoSpaceDE w:val="0"/>
              <w:autoSpaceDN w:val="0"/>
              <w:jc w:val="center"/>
              <w:rPr>
                <w:rFonts w:ascii="仿宋_GB2312" w:eastAsia="仿宋_GB2312" w:cs="仿宋_GB2312"/>
                <w:szCs w:val="21"/>
              </w:rPr>
            </w:pPr>
            <w:r>
              <w:rPr>
                <w:rFonts w:hint="eastAsia" w:eastAsia="等线"/>
                <w:kern w:val="0"/>
                <w:sz w:val="22"/>
              </w:rPr>
              <w:t>制浆造纸清洁生产进展</w:t>
            </w:r>
          </w:p>
        </w:tc>
        <w:tc>
          <w:tcPr>
            <w:tcW w:w="1281" w:type="dxa"/>
            <w:tcBorders>
              <w:top w:val="single" w:color="auto" w:sz="4" w:space="0"/>
              <w:left w:val="single" w:color="auto" w:sz="4" w:space="0"/>
              <w:bottom w:val="single" w:color="auto" w:sz="4" w:space="0"/>
              <w:right w:val="single" w:color="auto" w:sz="4" w:space="0"/>
            </w:tcBorders>
            <w:vAlign w:val="center"/>
          </w:tcPr>
          <w:p w14:paraId="24F75161">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64FF36DC">
            <w:pPr>
              <w:widowControl/>
              <w:jc w:val="center"/>
              <w:rPr>
                <w:rFonts w:eastAsia="等线"/>
                <w:kern w:val="0"/>
                <w:sz w:val="22"/>
              </w:rPr>
            </w:pPr>
            <w:r>
              <w:rPr>
                <w:rFonts w:hint="eastAsia" w:eastAsia="等线"/>
                <w:kern w:val="0"/>
                <w:sz w:val="22"/>
              </w:rPr>
              <w:t>1.5</w:t>
            </w:r>
          </w:p>
        </w:tc>
        <w:tc>
          <w:tcPr>
            <w:tcW w:w="1418" w:type="dxa"/>
            <w:vMerge w:val="continue"/>
            <w:tcBorders>
              <w:top w:val="single" w:color="auto" w:sz="4" w:space="0"/>
              <w:left w:val="nil"/>
              <w:bottom w:val="single" w:color="auto" w:sz="4" w:space="0"/>
              <w:right w:val="single" w:color="auto" w:sz="4" w:space="0"/>
            </w:tcBorders>
            <w:vAlign w:val="center"/>
          </w:tcPr>
          <w:p w14:paraId="369A1109">
            <w:pPr>
              <w:widowControl/>
              <w:snapToGrid w:val="0"/>
              <w:spacing w:line="300" w:lineRule="auto"/>
              <w:jc w:val="center"/>
              <w:rPr>
                <w:rFonts w:eastAsia="仿宋"/>
                <w:kern w:val="0"/>
                <w:sz w:val="24"/>
              </w:rPr>
            </w:pPr>
          </w:p>
        </w:tc>
      </w:tr>
      <w:tr w14:paraId="15FCA812">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1484BDEE">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7C6D2AD8">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0FA31A78">
            <w:pPr>
              <w:autoSpaceDE w:val="0"/>
              <w:autoSpaceDN w:val="0"/>
              <w:jc w:val="center"/>
              <w:rPr>
                <w:rFonts w:ascii="仿宋_GB2312" w:eastAsia="仿宋_GB2312" w:cs="仿宋_GB2312"/>
                <w:szCs w:val="21"/>
              </w:rPr>
            </w:pPr>
            <w:r>
              <w:rPr>
                <w:rFonts w:hint="eastAsia" w:eastAsia="等线"/>
                <w:kern w:val="0"/>
                <w:sz w:val="22"/>
              </w:rPr>
              <w:t>生物质基功能材料进展</w:t>
            </w:r>
          </w:p>
        </w:tc>
        <w:tc>
          <w:tcPr>
            <w:tcW w:w="1281" w:type="dxa"/>
            <w:tcBorders>
              <w:top w:val="single" w:color="auto" w:sz="4" w:space="0"/>
              <w:left w:val="single" w:color="auto" w:sz="4" w:space="0"/>
              <w:bottom w:val="single" w:color="auto" w:sz="4" w:space="0"/>
              <w:right w:val="single" w:color="auto" w:sz="4" w:space="0"/>
            </w:tcBorders>
            <w:vAlign w:val="center"/>
          </w:tcPr>
          <w:p w14:paraId="7F3B299C">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1BB83278">
            <w:pPr>
              <w:widowControl/>
              <w:jc w:val="center"/>
              <w:rPr>
                <w:rFonts w:eastAsia="等线"/>
                <w:kern w:val="0"/>
                <w:sz w:val="22"/>
              </w:rPr>
            </w:pPr>
            <w:r>
              <w:rPr>
                <w:rFonts w:hint="eastAsia" w:eastAsia="等线"/>
                <w:kern w:val="0"/>
                <w:sz w:val="22"/>
              </w:rPr>
              <w:t>2</w:t>
            </w:r>
          </w:p>
        </w:tc>
        <w:tc>
          <w:tcPr>
            <w:tcW w:w="1418" w:type="dxa"/>
            <w:vMerge w:val="continue"/>
            <w:tcBorders>
              <w:top w:val="single" w:color="auto" w:sz="4" w:space="0"/>
              <w:left w:val="nil"/>
              <w:bottom w:val="single" w:color="auto" w:sz="4" w:space="0"/>
              <w:right w:val="single" w:color="auto" w:sz="4" w:space="0"/>
            </w:tcBorders>
            <w:vAlign w:val="center"/>
          </w:tcPr>
          <w:p w14:paraId="0474F58C">
            <w:pPr>
              <w:widowControl/>
              <w:snapToGrid w:val="0"/>
              <w:spacing w:line="300" w:lineRule="auto"/>
              <w:jc w:val="center"/>
              <w:rPr>
                <w:rFonts w:eastAsia="仿宋"/>
                <w:kern w:val="0"/>
                <w:sz w:val="24"/>
              </w:rPr>
            </w:pPr>
          </w:p>
        </w:tc>
      </w:tr>
      <w:tr w14:paraId="7CF7BAED">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147B1AC4">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24EE0A89">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4144F84">
            <w:pPr>
              <w:autoSpaceDE w:val="0"/>
              <w:autoSpaceDN w:val="0"/>
              <w:jc w:val="center"/>
              <w:rPr>
                <w:rFonts w:ascii="仿宋_GB2312" w:eastAsia="仿宋_GB2312" w:cs="仿宋_GB2312"/>
                <w:szCs w:val="21"/>
              </w:rPr>
            </w:pPr>
            <w:r>
              <w:rPr>
                <w:rFonts w:hint="eastAsia" w:eastAsia="等线"/>
                <w:kern w:val="0"/>
                <w:sz w:val="22"/>
              </w:rPr>
              <w:t>工业废水处理及再生利用</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34D15717">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6E197257">
            <w:pPr>
              <w:widowControl/>
              <w:jc w:val="center"/>
              <w:rPr>
                <w:rFonts w:eastAsia="等线"/>
                <w:kern w:val="0"/>
                <w:sz w:val="22"/>
              </w:rPr>
            </w:pPr>
            <w:r>
              <w:rPr>
                <w:rFonts w:hint="eastAsia" w:eastAsia="等线"/>
                <w:kern w:val="0"/>
                <w:sz w:val="22"/>
              </w:rPr>
              <w:t>2</w:t>
            </w:r>
          </w:p>
        </w:tc>
        <w:tc>
          <w:tcPr>
            <w:tcW w:w="1418" w:type="dxa"/>
            <w:vMerge w:val="continue"/>
            <w:tcBorders>
              <w:top w:val="single" w:color="auto" w:sz="4" w:space="0"/>
              <w:left w:val="nil"/>
              <w:bottom w:val="single" w:color="auto" w:sz="4" w:space="0"/>
              <w:right w:val="single" w:color="auto" w:sz="4" w:space="0"/>
            </w:tcBorders>
            <w:vAlign w:val="center"/>
          </w:tcPr>
          <w:p w14:paraId="47DB44EE">
            <w:pPr>
              <w:widowControl/>
              <w:snapToGrid w:val="0"/>
              <w:spacing w:line="300" w:lineRule="auto"/>
              <w:jc w:val="center"/>
              <w:rPr>
                <w:rFonts w:eastAsia="仿宋"/>
                <w:kern w:val="0"/>
                <w:sz w:val="24"/>
              </w:rPr>
            </w:pPr>
          </w:p>
        </w:tc>
      </w:tr>
      <w:tr w14:paraId="7D11DC4B">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F867CEF">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1E8C0733">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2884ABF1">
            <w:pPr>
              <w:autoSpaceDE w:val="0"/>
              <w:autoSpaceDN w:val="0"/>
              <w:jc w:val="center"/>
              <w:rPr>
                <w:rFonts w:ascii="仿宋_GB2312" w:eastAsia="仿宋_GB2312" w:cs="仿宋_GB2312"/>
                <w:szCs w:val="21"/>
              </w:rPr>
            </w:pPr>
            <w:r>
              <w:rPr>
                <w:rFonts w:hint="eastAsia" w:eastAsia="等线"/>
                <w:kern w:val="0"/>
                <w:sz w:val="22"/>
              </w:rPr>
              <w:t>现代仪器分析与检测</w:t>
            </w:r>
          </w:p>
        </w:tc>
        <w:tc>
          <w:tcPr>
            <w:tcW w:w="1281" w:type="dxa"/>
            <w:tcBorders>
              <w:top w:val="single" w:color="auto" w:sz="4" w:space="0"/>
              <w:left w:val="single" w:color="auto" w:sz="4" w:space="0"/>
              <w:bottom w:val="single" w:color="auto" w:sz="4" w:space="0"/>
              <w:right w:val="single" w:color="auto" w:sz="4" w:space="0"/>
            </w:tcBorders>
            <w:vAlign w:val="center"/>
          </w:tcPr>
          <w:p w14:paraId="776F99C6">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2854A102">
            <w:pPr>
              <w:widowControl/>
              <w:jc w:val="center"/>
              <w:rPr>
                <w:rFonts w:eastAsia="等线"/>
                <w:kern w:val="0"/>
                <w:sz w:val="22"/>
              </w:rPr>
            </w:pPr>
            <w:r>
              <w:rPr>
                <w:rFonts w:hint="eastAsia" w:eastAsia="等线"/>
                <w:kern w:val="0"/>
                <w:sz w:val="22"/>
              </w:rPr>
              <w:t>2</w:t>
            </w:r>
          </w:p>
        </w:tc>
        <w:tc>
          <w:tcPr>
            <w:tcW w:w="1418" w:type="dxa"/>
            <w:vMerge w:val="continue"/>
            <w:tcBorders>
              <w:top w:val="single" w:color="auto" w:sz="4" w:space="0"/>
              <w:left w:val="nil"/>
              <w:bottom w:val="single" w:color="auto" w:sz="4" w:space="0"/>
              <w:right w:val="single" w:color="auto" w:sz="4" w:space="0"/>
            </w:tcBorders>
            <w:vAlign w:val="center"/>
          </w:tcPr>
          <w:p w14:paraId="1B935281">
            <w:pPr>
              <w:widowControl/>
              <w:snapToGrid w:val="0"/>
              <w:spacing w:line="300" w:lineRule="auto"/>
              <w:jc w:val="center"/>
              <w:rPr>
                <w:rFonts w:eastAsia="仿宋"/>
                <w:kern w:val="0"/>
                <w:sz w:val="24"/>
              </w:rPr>
            </w:pPr>
          </w:p>
        </w:tc>
      </w:tr>
      <w:tr w14:paraId="7E6266D0">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12662DE">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03421526">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64586076">
            <w:pPr>
              <w:autoSpaceDE w:val="0"/>
              <w:autoSpaceDN w:val="0"/>
              <w:jc w:val="center"/>
              <w:rPr>
                <w:rFonts w:ascii="仿宋_GB2312" w:eastAsia="仿宋_GB2312" w:cs="仿宋_GB2312"/>
                <w:szCs w:val="21"/>
              </w:rPr>
            </w:pPr>
            <w:r>
              <w:rPr>
                <w:rFonts w:hint="eastAsia" w:eastAsia="等线"/>
                <w:kern w:val="0"/>
                <w:sz w:val="22"/>
              </w:rPr>
              <w:t>制革前沿科学与技术</w:t>
            </w:r>
          </w:p>
        </w:tc>
        <w:tc>
          <w:tcPr>
            <w:tcW w:w="1281" w:type="dxa"/>
            <w:tcBorders>
              <w:top w:val="single" w:color="auto" w:sz="4" w:space="0"/>
              <w:left w:val="single" w:color="auto" w:sz="4" w:space="0"/>
              <w:bottom w:val="single" w:color="auto" w:sz="4" w:space="0"/>
              <w:right w:val="single" w:color="auto" w:sz="4" w:space="0"/>
            </w:tcBorders>
            <w:vAlign w:val="center"/>
          </w:tcPr>
          <w:p w14:paraId="0D4790AA">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52B01CFC">
            <w:pPr>
              <w:widowControl/>
              <w:jc w:val="center"/>
              <w:rPr>
                <w:rFonts w:eastAsia="等线"/>
                <w:kern w:val="0"/>
                <w:sz w:val="22"/>
              </w:rPr>
            </w:pPr>
            <w:r>
              <w:rPr>
                <w:rFonts w:hint="eastAsia" w:eastAsia="等线"/>
                <w:kern w:val="0"/>
                <w:sz w:val="22"/>
              </w:rPr>
              <w:t>1.5</w:t>
            </w:r>
          </w:p>
        </w:tc>
        <w:tc>
          <w:tcPr>
            <w:tcW w:w="1418" w:type="dxa"/>
            <w:vMerge w:val="continue"/>
            <w:tcBorders>
              <w:top w:val="single" w:color="auto" w:sz="4" w:space="0"/>
              <w:left w:val="nil"/>
              <w:bottom w:val="single" w:color="auto" w:sz="4" w:space="0"/>
              <w:right w:val="single" w:color="auto" w:sz="4" w:space="0"/>
            </w:tcBorders>
            <w:vAlign w:val="center"/>
          </w:tcPr>
          <w:p w14:paraId="6197C53D">
            <w:pPr>
              <w:widowControl/>
              <w:snapToGrid w:val="0"/>
              <w:spacing w:line="300" w:lineRule="auto"/>
              <w:jc w:val="center"/>
              <w:rPr>
                <w:rFonts w:eastAsia="仿宋"/>
                <w:kern w:val="0"/>
                <w:sz w:val="24"/>
              </w:rPr>
            </w:pPr>
          </w:p>
        </w:tc>
      </w:tr>
      <w:tr w14:paraId="4D2BFD19">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7A5CD2CE">
            <w:pPr>
              <w:widowControl/>
              <w:snapToGrid w:val="0"/>
              <w:spacing w:line="300" w:lineRule="auto"/>
              <w:jc w:val="center"/>
              <w:rPr>
                <w:rFonts w:eastAsia="仿宋"/>
                <w:kern w:val="0"/>
                <w:sz w:val="24"/>
              </w:rPr>
            </w:pPr>
          </w:p>
        </w:tc>
        <w:tc>
          <w:tcPr>
            <w:tcW w:w="1418" w:type="dxa"/>
            <w:vMerge w:val="continue"/>
            <w:tcBorders>
              <w:left w:val="single" w:color="auto" w:sz="4" w:space="0"/>
              <w:bottom w:val="single" w:color="auto" w:sz="4" w:space="0"/>
              <w:right w:val="single" w:color="auto" w:sz="4" w:space="0"/>
            </w:tcBorders>
            <w:vAlign w:val="center"/>
          </w:tcPr>
          <w:p w14:paraId="18EAD03E">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0C07A66">
            <w:pPr>
              <w:autoSpaceDE w:val="0"/>
              <w:autoSpaceDN w:val="0"/>
              <w:jc w:val="center"/>
              <w:rPr>
                <w:rFonts w:ascii="仿宋_GB2312" w:eastAsia="仿宋_GB2312" w:cs="仿宋_GB2312"/>
                <w:szCs w:val="21"/>
              </w:rPr>
            </w:pPr>
            <w:r>
              <w:rPr>
                <w:rFonts w:hint="eastAsia" w:eastAsia="等线"/>
                <w:kern w:val="0"/>
                <w:sz w:val="22"/>
              </w:rPr>
              <w:t>轻工精细化工产品开发</w:t>
            </w:r>
          </w:p>
        </w:tc>
        <w:tc>
          <w:tcPr>
            <w:tcW w:w="1281" w:type="dxa"/>
            <w:tcBorders>
              <w:top w:val="single" w:color="auto" w:sz="4" w:space="0"/>
              <w:left w:val="single" w:color="auto" w:sz="4" w:space="0"/>
              <w:bottom w:val="single" w:color="auto" w:sz="4" w:space="0"/>
              <w:right w:val="single" w:color="auto" w:sz="4" w:space="0"/>
            </w:tcBorders>
            <w:vAlign w:val="center"/>
          </w:tcPr>
          <w:p w14:paraId="79D94C15">
            <w:pPr>
              <w:widowControl/>
              <w:jc w:val="center"/>
              <w:rPr>
                <w:rFonts w:eastAsia="等线"/>
                <w:kern w:val="0"/>
                <w:sz w:val="22"/>
              </w:rPr>
            </w:pPr>
            <w:r>
              <w:rPr>
                <w:rFonts w:hint="eastAsia"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24AA5CC7">
            <w:pPr>
              <w:widowControl/>
              <w:jc w:val="center"/>
              <w:rPr>
                <w:rFonts w:eastAsia="等线"/>
                <w:kern w:val="0"/>
                <w:sz w:val="22"/>
              </w:rPr>
            </w:pPr>
            <w:r>
              <w:rPr>
                <w:rFonts w:hint="eastAsia" w:eastAsia="等线"/>
                <w:kern w:val="0"/>
                <w:sz w:val="22"/>
              </w:rPr>
              <w:t>2</w:t>
            </w:r>
          </w:p>
        </w:tc>
        <w:tc>
          <w:tcPr>
            <w:tcW w:w="1418" w:type="dxa"/>
            <w:vMerge w:val="continue"/>
            <w:tcBorders>
              <w:top w:val="single" w:color="auto" w:sz="4" w:space="0"/>
              <w:left w:val="nil"/>
              <w:bottom w:val="single" w:color="auto" w:sz="4" w:space="0"/>
              <w:right w:val="single" w:color="auto" w:sz="4" w:space="0"/>
            </w:tcBorders>
            <w:vAlign w:val="center"/>
          </w:tcPr>
          <w:p w14:paraId="0731BAB0">
            <w:pPr>
              <w:widowControl/>
              <w:snapToGrid w:val="0"/>
              <w:spacing w:line="300" w:lineRule="auto"/>
              <w:jc w:val="center"/>
              <w:rPr>
                <w:rFonts w:eastAsia="仿宋"/>
                <w:kern w:val="0"/>
                <w:sz w:val="24"/>
              </w:rPr>
            </w:pPr>
          </w:p>
        </w:tc>
      </w:tr>
      <w:tr w14:paraId="52504AEE">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46A7F1AC">
            <w:pPr>
              <w:widowControl/>
              <w:snapToGrid w:val="0"/>
              <w:spacing w:line="300" w:lineRule="auto"/>
              <w:jc w:val="center"/>
              <w:rPr>
                <w:rFonts w:eastAsia="仿宋"/>
                <w:kern w:val="0"/>
                <w:sz w:val="24"/>
              </w:rPr>
            </w:pPr>
          </w:p>
        </w:tc>
        <w:tc>
          <w:tcPr>
            <w:tcW w:w="1418" w:type="dxa"/>
            <w:vMerge w:val="restart"/>
            <w:tcBorders>
              <w:top w:val="single" w:color="auto" w:sz="4" w:space="0"/>
              <w:left w:val="single" w:color="auto" w:sz="4" w:space="0"/>
              <w:right w:val="single" w:color="auto" w:sz="4" w:space="0"/>
            </w:tcBorders>
            <w:vAlign w:val="center"/>
          </w:tcPr>
          <w:p w14:paraId="49BEC431">
            <w:pPr>
              <w:widowControl/>
              <w:snapToGrid w:val="0"/>
              <w:spacing w:line="300" w:lineRule="auto"/>
              <w:jc w:val="center"/>
              <w:rPr>
                <w:rFonts w:eastAsia="仿宋"/>
                <w:kern w:val="0"/>
                <w:sz w:val="24"/>
              </w:rPr>
            </w:pPr>
            <w:r>
              <w:rPr>
                <w:rFonts w:hint="eastAsia" w:eastAsia="等线"/>
                <w:kern w:val="0"/>
                <w:sz w:val="22"/>
              </w:rPr>
              <w:t>化学工程</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7497D6B6">
            <w:pPr>
              <w:autoSpaceDE w:val="0"/>
              <w:autoSpaceDN w:val="0"/>
              <w:jc w:val="center"/>
              <w:rPr>
                <w:rFonts w:ascii="仿宋_GB2312" w:eastAsia="仿宋_GB2312" w:cs="仿宋_GB2312"/>
                <w:szCs w:val="21"/>
              </w:rPr>
            </w:pPr>
            <w:r>
              <w:rPr>
                <w:rFonts w:hint="eastAsia" w:eastAsia="等线"/>
                <w:kern w:val="0"/>
                <w:sz w:val="22"/>
              </w:rPr>
              <w:t>材料与化工现代研究方法</w:t>
            </w:r>
          </w:p>
        </w:tc>
        <w:tc>
          <w:tcPr>
            <w:tcW w:w="1281" w:type="dxa"/>
            <w:tcBorders>
              <w:top w:val="single" w:color="auto" w:sz="4" w:space="0"/>
              <w:left w:val="single" w:color="auto" w:sz="4" w:space="0"/>
              <w:bottom w:val="single" w:color="auto" w:sz="4" w:space="0"/>
              <w:right w:val="single" w:color="auto" w:sz="4" w:space="0"/>
            </w:tcBorders>
            <w:vAlign w:val="center"/>
          </w:tcPr>
          <w:p w14:paraId="2AF0C101">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17AC3EAA">
            <w:pPr>
              <w:widowControl/>
              <w:jc w:val="center"/>
              <w:rPr>
                <w:rFonts w:eastAsia="等线"/>
                <w:kern w:val="0"/>
                <w:sz w:val="22"/>
              </w:rPr>
            </w:pPr>
            <w:r>
              <w:rPr>
                <w:rFonts w:hint="eastAsia" w:eastAsia="等线"/>
                <w:kern w:val="0"/>
                <w:sz w:val="22"/>
              </w:rPr>
              <w:t>2.5</w:t>
            </w:r>
          </w:p>
        </w:tc>
        <w:tc>
          <w:tcPr>
            <w:tcW w:w="1418" w:type="dxa"/>
            <w:vMerge w:val="continue"/>
            <w:tcBorders>
              <w:top w:val="single" w:color="auto" w:sz="4" w:space="0"/>
              <w:left w:val="nil"/>
              <w:bottom w:val="single" w:color="auto" w:sz="4" w:space="0"/>
              <w:right w:val="single" w:color="auto" w:sz="4" w:space="0"/>
            </w:tcBorders>
            <w:vAlign w:val="center"/>
          </w:tcPr>
          <w:p w14:paraId="73731214">
            <w:pPr>
              <w:widowControl/>
              <w:snapToGrid w:val="0"/>
              <w:spacing w:line="300" w:lineRule="auto"/>
              <w:jc w:val="center"/>
              <w:rPr>
                <w:rFonts w:eastAsia="仿宋"/>
                <w:kern w:val="0"/>
                <w:sz w:val="24"/>
              </w:rPr>
            </w:pPr>
          </w:p>
        </w:tc>
      </w:tr>
      <w:tr w14:paraId="52A4F625">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31F19DA5">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3AE6FF50">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4ADD7BB3">
            <w:pPr>
              <w:autoSpaceDE w:val="0"/>
              <w:autoSpaceDN w:val="0"/>
              <w:jc w:val="center"/>
              <w:rPr>
                <w:rFonts w:ascii="仿宋_GB2312" w:eastAsia="仿宋_GB2312" w:cs="仿宋_GB2312"/>
                <w:szCs w:val="21"/>
              </w:rPr>
            </w:pPr>
            <w:r>
              <w:rPr>
                <w:rFonts w:hint="eastAsia" w:eastAsia="等线"/>
                <w:kern w:val="0"/>
                <w:sz w:val="22"/>
              </w:rPr>
              <w:t>工业催化原理与应用</w:t>
            </w:r>
          </w:p>
        </w:tc>
        <w:tc>
          <w:tcPr>
            <w:tcW w:w="1281" w:type="dxa"/>
            <w:tcBorders>
              <w:top w:val="single" w:color="auto" w:sz="4" w:space="0"/>
              <w:left w:val="single" w:color="auto" w:sz="4" w:space="0"/>
              <w:bottom w:val="single" w:color="auto" w:sz="4" w:space="0"/>
              <w:right w:val="single" w:color="auto" w:sz="4" w:space="0"/>
            </w:tcBorders>
            <w:vAlign w:val="center"/>
          </w:tcPr>
          <w:p w14:paraId="2DDF617D">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6DABBB9E">
            <w:pPr>
              <w:widowControl/>
              <w:jc w:val="center"/>
              <w:rPr>
                <w:rFonts w:eastAsia="等线"/>
                <w:kern w:val="0"/>
                <w:sz w:val="22"/>
              </w:rPr>
            </w:pPr>
            <w:r>
              <w:rPr>
                <w:rFonts w:hint="eastAsia" w:eastAsia="等线"/>
                <w:kern w:val="0"/>
                <w:sz w:val="22"/>
              </w:rPr>
              <w:t>2.5</w:t>
            </w:r>
          </w:p>
        </w:tc>
        <w:tc>
          <w:tcPr>
            <w:tcW w:w="1418" w:type="dxa"/>
            <w:vMerge w:val="continue"/>
            <w:tcBorders>
              <w:top w:val="single" w:color="auto" w:sz="4" w:space="0"/>
              <w:left w:val="nil"/>
              <w:bottom w:val="single" w:color="auto" w:sz="4" w:space="0"/>
              <w:right w:val="single" w:color="auto" w:sz="4" w:space="0"/>
            </w:tcBorders>
            <w:vAlign w:val="center"/>
          </w:tcPr>
          <w:p w14:paraId="704999FA">
            <w:pPr>
              <w:widowControl/>
              <w:snapToGrid w:val="0"/>
              <w:spacing w:line="300" w:lineRule="auto"/>
              <w:jc w:val="center"/>
              <w:rPr>
                <w:rFonts w:eastAsia="仿宋"/>
                <w:kern w:val="0"/>
                <w:sz w:val="24"/>
              </w:rPr>
            </w:pPr>
          </w:p>
        </w:tc>
      </w:tr>
      <w:tr w14:paraId="5B1F3A95">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5E7B1454">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438F2AA3">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66638681">
            <w:pPr>
              <w:autoSpaceDE w:val="0"/>
              <w:autoSpaceDN w:val="0"/>
              <w:jc w:val="center"/>
              <w:rPr>
                <w:rFonts w:ascii="仿宋_GB2312" w:eastAsia="仿宋_GB2312" w:cs="仿宋_GB2312"/>
                <w:szCs w:val="21"/>
              </w:rPr>
            </w:pPr>
            <w:r>
              <w:rPr>
                <w:rFonts w:hint="eastAsia" w:eastAsia="等线"/>
                <w:kern w:val="0"/>
                <w:sz w:val="22"/>
              </w:rPr>
              <w:t>天然产物提取与分离</w:t>
            </w:r>
          </w:p>
        </w:tc>
        <w:tc>
          <w:tcPr>
            <w:tcW w:w="1281" w:type="dxa"/>
            <w:tcBorders>
              <w:top w:val="single" w:color="auto" w:sz="4" w:space="0"/>
              <w:left w:val="single" w:color="auto" w:sz="4" w:space="0"/>
              <w:bottom w:val="single" w:color="auto" w:sz="4" w:space="0"/>
              <w:right w:val="single" w:color="auto" w:sz="4" w:space="0"/>
            </w:tcBorders>
            <w:vAlign w:val="center"/>
          </w:tcPr>
          <w:p w14:paraId="132BF428">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18426E96">
            <w:pPr>
              <w:widowControl/>
              <w:jc w:val="center"/>
              <w:rPr>
                <w:rFonts w:eastAsia="等线"/>
                <w:kern w:val="0"/>
                <w:sz w:val="22"/>
              </w:rPr>
            </w:pPr>
            <w:r>
              <w:rPr>
                <w:rFonts w:hint="eastAsia" w:eastAsia="等线"/>
                <w:kern w:val="0"/>
                <w:sz w:val="22"/>
              </w:rPr>
              <w:t>2.5</w:t>
            </w:r>
          </w:p>
        </w:tc>
        <w:tc>
          <w:tcPr>
            <w:tcW w:w="1418" w:type="dxa"/>
            <w:vMerge w:val="continue"/>
            <w:tcBorders>
              <w:top w:val="single" w:color="auto" w:sz="4" w:space="0"/>
              <w:left w:val="nil"/>
              <w:bottom w:val="single" w:color="auto" w:sz="4" w:space="0"/>
              <w:right w:val="single" w:color="auto" w:sz="4" w:space="0"/>
            </w:tcBorders>
            <w:vAlign w:val="center"/>
          </w:tcPr>
          <w:p w14:paraId="479931FB">
            <w:pPr>
              <w:widowControl/>
              <w:snapToGrid w:val="0"/>
              <w:spacing w:line="300" w:lineRule="auto"/>
              <w:jc w:val="center"/>
              <w:rPr>
                <w:rFonts w:eastAsia="仿宋"/>
                <w:kern w:val="0"/>
                <w:sz w:val="24"/>
              </w:rPr>
            </w:pPr>
          </w:p>
        </w:tc>
      </w:tr>
      <w:tr w14:paraId="05A3596E">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2EDC9CDE">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040CF960">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00C77F97">
            <w:pPr>
              <w:autoSpaceDE w:val="0"/>
              <w:autoSpaceDN w:val="0"/>
              <w:jc w:val="center"/>
              <w:rPr>
                <w:rFonts w:ascii="仿宋_GB2312" w:eastAsia="仿宋_GB2312" w:cs="仿宋_GB2312"/>
                <w:szCs w:val="21"/>
              </w:rPr>
            </w:pPr>
            <w:r>
              <w:rPr>
                <w:rFonts w:hint="eastAsia" w:eastAsia="等线"/>
                <w:kern w:val="0"/>
                <w:sz w:val="22"/>
              </w:rPr>
              <w:t>现代分离技术</w:t>
            </w:r>
          </w:p>
        </w:tc>
        <w:tc>
          <w:tcPr>
            <w:tcW w:w="1281" w:type="dxa"/>
            <w:tcBorders>
              <w:top w:val="single" w:color="auto" w:sz="4" w:space="0"/>
              <w:left w:val="single" w:color="auto" w:sz="4" w:space="0"/>
              <w:bottom w:val="single" w:color="auto" w:sz="4" w:space="0"/>
              <w:right w:val="single" w:color="auto" w:sz="4" w:space="0"/>
            </w:tcBorders>
            <w:vAlign w:val="center"/>
          </w:tcPr>
          <w:p w14:paraId="007681AD">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5D5977B4">
            <w:pPr>
              <w:widowControl/>
              <w:jc w:val="center"/>
              <w:rPr>
                <w:rFonts w:eastAsia="等线"/>
                <w:kern w:val="0"/>
                <w:sz w:val="22"/>
              </w:rPr>
            </w:pPr>
            <w:r>
              <w:rPr>
                <w:rFonts w:hint="eastAsia" w:eastAsia="等线"/>
                <w:kern w:val="0"/>
                <w:sz w:val="22"/>
              </w:rPr>
              <w:t>2.5</w:t>
            </w:r>
          </w:p>
        </w:tc>
        <w:tc>
          <w:tcPr>
            <w:tcW w:w="1418" w:type="dxa"/>
            <w:vMerge w:val="continue"/>
            <w:tcBorders>
              <w:top w:val="single" w:color="auto" w:sz="4" w:space="0"/>
              <w:left w:val="nil"/>
              <w:bottom w:val="single" w:color="auto" w:sz="4" w:space="0"/>
              <w:right w:val="single" w:color="auto" w:sz="4" w:space="0"/>
            </w:tcBorders>
            <w:vAlign w:val="center"/>
          </w:tcPr>
          <w:p w14:paraId="4C522006">
            <w:pPr>
              <w:widowControl/>
              <w:snapToGrid w:val="0"/>
              <w:spacing w:line="300" w:lineRule="auto"/>
              <w:jc w:val="center"/>
              <w:rPr>
                <w:rFonts w:eastAsia="仿宋"/>
                <w:kern w:val="0"/>
                <w:sz w:val="24"/>
              </w:rPr>
            </w:pPr>
          </w:p>
        </w:tc>
      </w:tr>
      <w:tr w14:paraId="6A4B232A">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9A138A0">
            <w:pPr>
              <w:widowControl/>
              <w:snapToGrid w:val="0"/>
              <w:spacing w:line="300" w:lineRule="auto"/>
              <w:jc w:val="center"/>
              <w:rPr>
                <w:rFonts w:eastAsia="仿宋"/>
                <w:kern w:val="0"/>
                <w:sz w:val="24"/>
              </w:rPr>
            </w:pPr>
          </w:p>
        </w:tc>
        <w:tc>
          <w:tcPr>
            <w:tcW w:w="1418" w:type="dxa"/>
            <w:vMerge w:val="continue"/>
            <w:tcBorders>
              <w:left w:val="single" w:color="auto" w:sz="4" w:space="0"/>
              <w:right w:val="single" w:color="auto" w:sz="4" w:space="0"/>
            </w:tcBorders>
            <w:vAlign w:val="center"/>
          </w:tcPr>
          <w:p w14:paraId="3DE061AF">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9EC267A">
            <w:pPr>
              <w:autoSpaceDE w:val="0"/>
              <w:autoSpaceDN w:val="0"/>
              <w:jc w:val="center"/>
              <w:rPr>
                <w:rFonts w:ascii="仿宋_GB2312" w:eastAsia="仿宋_GB2312" w:cs="仿宋_GB2312"/>
                <w:szCs w:val="21"/>
              </w:rPr>
            </w:pPr>
            <w:r>
              <w:rPr>
                <w:rFonts w:hint="eastAsia" w:eastAsia="等线"/>
                <w:kern w:val="0"/>
                <w:sz w:val="22"/>
              </w:rPr>
              <w:t>化学与生物传感原理及技术</w:t>
            </w:r>
          </w:p>
        </w:tc>
        <w:tc>
          <w:tcPr>
            <w:tcW w:w="1281" w:type="dxa"/>
            <w:tcBorders>
              <w:top w:val="single" w:color="auto" w:sz="4" w:space="0"/>
              <w:left w:val="single" w:color="auto" w:sz="4" w:space="0"/>
              <w:bottom w:val="single" w:color="auto" w:sz="4" w:space="0"/>
              <w:right w:val="single" w:color="auto" w:sz="4" w:space="0"/>
            </w:tcBorders>
            <w:vAlign w:val="center"/>
          </w:tcPr>
          <w:p w14:paraId="1B79E1D7">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46596C96">
            <w:pPr>
              <w:widowControl/>
              <w:jc w:val="center"/>
              <w:rPr>
                <w:rFonts w:eastAsia="等线"/>
                <w:kern w:val="0"/>
                <w:sz w:val="22"/>
              </w:rPr>
            </w:pPr>
            <w:r>
              <w:rPr>
                <w:rFonts w:hint="eastAsia" w:eastAsia="等线"/>
                <w:kern w:val="0"/>
                <w:sz w:val="22"/>
              </w:rPr>
              <w:t>2.5</w:t>
            </w:r>
          </w:p>
        </w:tc>
        <w:tc>
          <w:tcPr>
            <w:tcW w:w="1418" w:type="dxa"/>
            <w:vMerge w:val="continue"/>
            <w:tcBorders>
              <w:top w:val="single" w:color="auto" w:sz="4" w:space="0"/>
              <w:left w:val="nil"/>
              <w:bottom w:val="single" w:color="auto" w:sz="4" w:space="0"/>
              <w:right w:val="single" w:color="auto" w:sz="4" w:space="0"/>
            </w:tcBorders>
            <w:vAlign w:val="center"/>
          </w:tcPr>
          <w:p w14:paraId="3A1215D4">
            <w:pPr>
              <w:widowControl/>
              <w:snapToGrid w:val="0"/>
              <w:spacing w:line="300" w:lineRule="auto"/>
              <w:jc w:val="center"/>
              <w:rPr>
                <w:rFonts w:eastAsia="仿宋"/>
                <w:kern w:val="0"/>
                <w:sz w:val="24"/>
              </w:rPr>
            </w:pPr>
          </w:p>
        </w:tc>
      </w:tr>
      <w:tr w14:paraId="1CCCF868">
        <w:tblPrEx>
          <w:tblCellMar>
            <w:top w:w="0" w:type="dxa"/>
            <w:left w:w="108" w:type="dxa"/>
            <w:bottom w:w="0" w:type="dxa"/>
            <w:right w:w="108" w:type="dxa"/>
          </w:tblCellMar>
        </w:tblPrEx>
        <w:trPr>
          <w:trHeight w:val="570"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569F6665">
            <w:pPr>
              <w:widowControl/>
              <w:snapToGrid w:val="0"/>
              <w:spacing w:line="300" w:lineRule="auto"/>
              <w:jc w:val="center"/>
              <w:rPr>
                <w:rFonts w:eastAsia="仿宋"/>
                <w:kern w:val="0"/>
                <w:sz w:val="24"/>
              </w:rPr>
            </w:pPr>
          </w:p>
        </w:tc>
        <w:tc>
          <w:tcPr>
            <w:tcW w:w="1418" w:type="dxa"/>
            <w:vMerge w:val="continue"/>
            <w:tcBorders>
              <w:left w:val="single" w:color="auto" w:sz="4" w:space="0"/>
              <w:bottom w:val="single" w:color="auto" w:sz="4" w:space="0"/>
              <w:right w:val="single" w:color="auto" w:sz="4" w:space="0"/>
            </w:tcBorders>
            <w:vAlign w:val="center"/>
          </w:tcPr>
          <w:p w14:paraId="0BBDC1BC">
            <w:pPr>
              <w:widowControl/>
              <w:snapToGrid w:val="0"/>
              <w:spacing w:line="300" w:lineRule="auto"/>
              <w:jc w:val="center"/>
              <w:rPr>
                <w:rFonts w:eastAsia="仿宋"/>
                <w:kern w:val="0"/>
                <w:sz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D289600">
            <w:pPr>
              <w:autoSpaceDE w:val="0"/>
              <w:autoSpaceDN w:val="0"/>
              <w:jc w:val="center"/>
              <w:rPr>
                <w:rFonts w:ascii="仿宋_GB2312" w:eastAsia="仿宋_GB2312" w:cs="仿宋_GB2312"/>
                <w:szCs w:val="21"/>
              </w:rPr>
            </w:pPr>
            <w:r>
              <w:rPr>
                <w:rFonts w:hint="eastAsia" w:eastAsia="等线"/>
                <w:kern w:val="0"/>
                <w:sz w:val="22"/>
              </w:rPr>
              <w:t>高等精细化学品化学</w:t>
            </w:r>
          </w:p>
        </w:tc>
        <w:tc>
          <w:tcPr>
            <w:tcW w:w="1281" w:type="dxa"/>
            <w:tcBorders>
              <w:top w:val="single" w:color="auto" w:sz="4" w:space="0"/>
              <w:left w:val="single" w:color="auto" w:sz="4" w:space="0"/>
              <w:bottom w:val="single" w:color="auto" w:sz="4" w:space="0"/>
              <w:right w:val="single" w:color="auto" w:sz="4" w:space="0"/>
            </w:tcBorders>
            <w:vAlign w:val="center"/>
          </w:tcPr>
          <w:p w14:paraId="790F749C">
            <w:pPr>
              <w:widowControl/>
              <w:jc w:val="center"/>
              <w:rPr>
                <w:rFonts w:eastAsia="等线"/>
                <w:kern w:val="0"/>
                <w:sz w:val="22"/>
              </w:rPr>
            </w:pPr>
            <w:r>
              <w:rPr>
                <w:rFonts w:eastAsia="等线"/>
                <w:kern w:val="0"/>
                <w:sz w:val="22"/>
              </w:rPr>
              <w:t>选修</w:t>
            </w:r>
          </w:p>
        </w:tc>
        <w:tc>
          <w:tcPr>
            <w:tcW w:w="821" w:type="dxa"/>
            <w:tcBorders>
              <w:top w:val="single" w:color="auto" w:sz="4" w:space="0"/>
              <w:left w:val="single" w:color="auto" w:sz="4" w:space="0"/>
              <w:bottom w:val="single" w:color="auto" w:sz="4" w:space="0"/>
              <w:right w:val="single" w:color="auto" w:sz="4" w:space="0"/>
            </w:tcBorders>
            <w:vAlign w:val="center"/>
          </w:tcPr>
          <w:p w14:paraId="60F9731D">
            <w:pPr>
              <w:widowControl/>
              <w:jc w:val="center"/>
              <w:rPr>
                <w:rFonts w:eastAsia="等线"/>
                <w:kern w:val="0"/>
                <w:sz w:val="22"/>
              </w:rPr>
            </w:pPr>
            <w:r>
              <w:rPr>
                <w:rFonts w:hint="eastAsia" w:eastAsia="等线"/>
                <w:kern w:val="0"/>
                <w:sz w:val="22"/>
              </w:rPr>
              <w:t>2.5</w:t>
            </w:r>
          </w:p>
        </w:tc>
        <w:tc>
          <w:tcPr>
            <w:tcW w:w="1418" w:type="dxa"/>
            <w:vMerge w:val="continue"/>
            <w:tcBorders>
              <w:top w:val="single" w:color="auto" w:sz="4" w:space="0"/>
              <w:left w:val="nil"/>
              <w:bottom w:val="single" w:color="auto" w:sz="4" w:space="0"/>
              <w:right w:val="single" w:color="auto" w:sz="4" w:space="0"/>
            </w:tcBorders>
            <w:vAlign w:val="center"/>
          </w:tcPr>
          <w:p w14:paraId="5CC215D8">
            <w:pPr>
              <w:widowControl/>
              <w:snapToGrid w:val="0"/>
              <w:spacing w:line="300" w:lineRule="auto"/>
              <w:jc w:val="center"/>
              <w:rPr>
                <w:rFonts w:eastAsia="仿宋"/>
                <w:kern w:val="0"/>
                <w:sz w:val="24"/>
              </w:rPr>
            </w:pPr>
          </w:p>
        </w:tc>
      </w:tr>
      <w:tr w14:paraId="15C6766A">
        <w:tblPrEx>
          <w:tblCellMar>
            <w:top w:w="0" w:type="dxa"/>
            <w:left w:w="108" w:type="dxa"/>
            <w:bottom w:w="0" w:type="dxa"/>
            <w:right w:w="108" w:type="dxa"/>
          </w:tblCellMar>
        </w:tblPrEx>
        <w:trPr>
          <w:trHeight w:val="570"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7547EBD">
            <w:pPr>
              <w:widowControl/>
              <w:snapToGrid w:val="0"/>
              <w:spacing w:line="300" w:lineRule="auto"/>
              <w:jc w:val="center"/>
              <w:rPr>
                <w:rFonts w:eastAsia="等线"/>
                <w:kern w:val="0"/>
                <w:sz w:val="22"/>
              </w:rPr>
            </w:pPr>
            <w:r>
              <w:rPr>
                <w:rFonts w:eastAsia="等线"/>
                <w:kern w:val="0"/>
                <w:sz w:val="22"/>
              </w:rPr>
              <w:t>补修课</w:t>
            </w:r>
          </w:p>
        </w:tc>
        <w:tc>
          <w:tcPr>
            <w:tcW w:w="2977" w:type="dxa"/>
            <w:tcBorders>
              <w:top w:val="single" w:color="auto" w:sz="4" w:space="0"/>
              <w:left w:val="nil"/>
              <w:bottom w:val="single" w:color="auto" w:sz="4" w:space="0"/>
              <w:right w:val="single" w:color="auto" w:sz="4" w:space="0"/>
            </w:tcBorders>
            <w:vAlign w:val="center"/>
          </w:tcPr>
          <w:p w14:paraId="663BA570">
            <w:pPr>
              <w:widowControl/>
              <w:rPr>
                <w:rFonts w:eastAsia="等线"/>
                <w:kern w:val="0"/>
                <w:sz w:val="22"/>
              </w:rPr>
            </w:pPr>
            <w:r>
              <w:rPr>
                <w:rFonts w:hint="eastAsia" w:eastAsia="等线"/>
                <w:kern w:val="0"/>
                <w:sz w:val="22"/>
              </w:rPr>
              <w:t>材料工程：</w:t>
            </w:r>
          </w:p>
          <w:p w14:paraId="45CB2BD1">
            <w:pPr>
              <w:widowControl/>
              <w:rPr>
                <w:rFonts w:eastAsia="等线"/>
                <w:kern w:val="0"/>
                <w:sz w:val="22"/>
              </w:rPr>
            </w:pPr>
            <w:r>
              <w:rPr>
                <w:rFonts w:hint="eastAsia" w:eastAsia="等线"/>
                <w:kern w:val="0"/>
                <w:sz w:val="22"/>
              </w:rPr>
              <w:t>材料科学基础、固体化学</w:t>
            </w:r>
          </w:p>
          <w:p w14:paraId="47C6A37A">
            <w:pPr>
              <w:widowControl/>
              <w:rPr>
                <w:rFonts w:eastAsia="等线"/>
                <w:kern w:val="0"/>
                <w:sz w:val="22"/>
              </w:rPr>
            </w:pPr>
            <w:r>
              <w:rPr>
                <w:rFonts w:hint="eastAsia" w:eastAsia="等线"/>
                <w:kern w:val="0"/>
                <w:sz w:val="22"/>
              </w:rPr>
              <w:t>轻化工程：</w:t>
            </w:r>
          </w:p>
          <w:p w14:paraId="5A6C93D3">
            <w:pPr>
              <w:widowControl/>
              <w:rPr>
                <w:rFonts w:eastAsia="等线"/>
                <w:kern w:val="0"/>
                <w:sz w:val="22"/>
              </w:rPr>
            </w:pPr>
            <w:r>
              <w:rPr>
                <w:rFonts w:hint="eastAsia" w:eastAsia="等线"/>
                <w:kern w:val="0"/>
                <w:sz w:val="22"/>
              </w:rPr>
              <w:t>材料与化工现代研究方法、植物纤维化学综合分析、高等有机化学、绿色制革技术</w:t>
            </w:r>
          </w:p>
          <w:p w14:paraId="324570DF">
            <w:pPr>
              <w:widowControl/>
              <w:rPr>
                <w:rFonts w:eastAsia="等线"/>
                <w:kern w:val="0"/>
                <w:sz w:val="22"/>
              </w:rPr>
            </w:pPr>
            <w:r>
              <w:rPr>
                <w:rFonts w:hint="eastAsia" w:eastAsia="等线"/>
                <w:kern w:val="0"/>
                <w:sz w:val="22"/>
              </w:rPr>
              <w:t>化药工程：</w:t>
            </w:r>
          </w:p>
          <w:p w14:paraId="6F8ED0DB">
            <w:pPr>
              <w:widowControl/>
              <w:rPr>
                <w:rFonts w:eastAsia="等线"/>
                <w:kern w:val="0"/>
                <w:sz w:val="22"/>
              </w:rPr>
            </w:pPr>
            <w:r>
              <w:rPr>
                <w:rFonts w:hint="eastAsia" w:eastAsia="等线"/>
                <w:kern w:val="0"/>
                <w:sz w:val="22"/>
              </w:rPr>
              <w:t>高等分离工程、高等反应工程</w:t>
            </w:r>
          </w:p>
        </w:tc>
        <w:tc>
          <w:tcPr>
            <w:tcW w:w="1281" w:type="dxa"/>
            <w:tcBorders>
              <w:top w:val="single" w:color="auto" w:sz="4" w:space="0"/>
              <w:left w:val="nil"/>
              <w:bottom w:val="single" w:color="auto" w:sz="4" w:space="0"/>
              <w:right w:val="single" w:color="auto" w:sz="4" w:space="0"/>
            </w:tcBorders>
            <w:vAlign w:val="center"/>
          </w:tcPr>
          <w:p w14:paraId="54EF443D">
            <w:pPr>
              <w:widowControl/>
              <w:jc w:val="center"/>
              <w:rPr>
                <w:rFonts w:eastAsia="等线"/>
                <w:kern w:val="0"/>
                <w:sz w:val="22"/>
              </w:rPr>
            </w:pPr>
          </w:p>
        </w:tc>
        <w:tc>
          <w:tcPr>
            <w:tcW w:w="821" w:type="dxa"/>
            <w:tcBorders>
              <w:top w:val="single" w:color="auto" w:sz="4" w:space="0"/>
              <w:left w:val="nil"/>
              <w:bottom w:val="single" w:color="auto" w:sz="4" w:space="0"/>
              <w:right w:val="single" w:color="auto" w:sz="4" w:space="0"/>
            </w:tcBorders>
            <w:vAlign w:val="center"/>
          </w:tcPr>
          <w:p w14:paraId="7A19BA8A">
            <w:pPr>
              <w:widowControl/>
              <w:jc w:val="center"/>
              <w:rPr>
                <w:rFonts w:eastAsia="等线"/>
                <w:kern w:val="0"/>
                <w:sz w:val="22"/>
              </w:rPr>
            </w:pPr>
            <w:r>
              <w:rPr>
                <w:rFonts w:eastAsia="等线"/>
                <w:kern w:val="0"/>
                <w:sz w:val="22"/>
              </w:rPr>
              <w:t>0</w:t>
            </w:r>
          </w:p>
        </w:tc>
        <w:tc>
          <w:tcPr>
            <w:tcW w:w="1418" w:type="dxa"/>
            <w:tcBorders>
              <w:top w:val="single" w:color="auto" w:sz="4" w:space="0"/>
              <w:left w:val="nil"/>
              <w:bottom w:val="single" w:color="auto" w:sz="4" w:space="0"/>
              <w:right w:val="single" w:color="auto" w:sz="4" w:space="0"/>
            </w:tcBorders>
            <w:vAlign w:val="center"/>
          </w:tcPr>
          <w:p w14:paraId="48162CEE">
            <w:pPr>
              <w:widowControl/>
              <w:snapToGrid w:val="0"/>
              <w:spacing w:line="300" w:lineRule="auto"/>
              <w:jc w:val="center"/>
              <w:rPr>
                <w:rFonts w:eastAsia="仿宋"/>
                <w:kern w:val="0"/>
                <w:sz w:val="24"/>
              </w:rPr>
            </w:pPr>
            <w:r>
              <w:rPr>
                <w:rFonts w:eastAsia="仿宋"/>
                <w:kern w:val="0"/>
                <w:sz w:val="24"/>
              </w:rPr>
              <w:t>0</w:t>
            </w:r>
          </w:p>
        </w:tc>
      </w:tr>
      <w:tr w14:paraId="26E131ED">
        <w:tblPrEx>
          <w:tblCellMar>
            <w:top w:w="0" w:type="dxa"/>
            <w:left w:w="108" w:type="dxa"/>
            <w:bottom w:w="0" w:type="dxa"/>
            <w:right w:w="108" w:type="dxa"/>
          </w:tblCellMar>
        </w:tblPrEx>
        <w:trPr>
          <w:trHeight w:val="570" w:hRule="atLeast"/>
        </w:trPr>
        <w:tc>
          <w:tcPr>
            <w:tcW w:w="1980" w:type="dxa"/>
            <w:gridSpan w:val="2"/>
            <w:vMerge w:val="restart"/>
            <w:tcBorders>
              <w:top w:val="single" w:color="auto" w:sz="4" w:space="0"/>
              <w:left w:val="single" w:color="auto" w:sz="4" w:space="0"/>
              <w:right w:val="single" w:color="auto" w:sz="4" w:space="0"/>
            </w:tcBorders>
            <w:vAlign w:val="center"/>
          </w:tcPr>
          <w:p w14:paraId="2FE75272">
            <w:pPr>
              <w:widowControl/>
              <w:snapToGrid w:val="0"/>
              <w:spacing w:line="300" w:lineRule="auto"/>
              <w:jc w:val="center"/>
              <w:rPr>
                <w:rFonts w:eastAsia="等线"/>
                <w:kern w:val="0"/>
                <w:sz w:val="22"/>
              </w:rPr>
            </w:pPr>
            <w:r>
              <w:rPr>
                <w:rFonts w:eastAsia="等线"/>
                <w:kern w:val="0"/>
                <w:sz w:val="22"/>
              </w:rPr>
              <w:t>必修环节</w:t>
            </w:r>
          </w:p>
        </w:tc>
        <w:tc>
          <w:tcPr>
            <w:tcW w:w="2977" w:type="dxa"/>
            <w:tcBorders>
              <w:top w:val="nil"/>
              <w:left w:val="nil"/>
              <w:bottom w:val="single" w:color="auto" w:sz="4" w:space="0"/>
              <w:right w:val="single" w:color="auto" w:sz="4" w:space="0"/>
            </w:tcBorders>
            <w:vAlign w:val="bottom"/>
          </w:tcPr>
          <w:p w14:paraId="5852B5A8">
            <w:pPr>
              <w:widowControl/>
              <w:spacing w:line="360" w:lineRule="auto"/>
              <w:jc w:val="center"/>
              <w:rPr>
                <w:rFonts w:eastAsia="等线"/>
                <w:kern w:val="0"/>
                <w:sz w:val="22"/>
              </w:rPr>
            </w:pPr>
            <w:r>
              <w:rPr>
                <w:rFonts w:eastAsia="等线"/>
                <w:kern w:val="0"/>
                <w:sz w:val="22"/>
              </w:rPr>
              <w:t>体美劳综合素养提升</w:t>
            </w:r>
          </w:p>
        </w:tc>
        <w:tc>
          <w:tcPr>
            <w:tcW w:w="1281" w:type="dxa"/>
            <w:tcBorders>
              <w:top w:val="nil"/>
              <w:left w:val="nil"/>
              <w:bottom w:val="single" w:color="auto" w:sz="4" w:space="0"/>
              <w:right w:val="single" w:color="auto" w:sz="4" w:space="0"/>
            </w:tcBorders>
            <w:vAlign w:val="bottom"/>
          </w:tcPr>
          <w:p w14:paraId="780FCA7D">
            <w:pPr>
              <w:widowControl/>
              <w:spacing w:line="36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10D82329">
            <w:pPr>
              <w:widowControl/>
              <w:spacing w:line="360" w:lineRule="auto"/>
              <w:jc w:val="center"/>
              <w:rPr>
                <w:rFonts w:eastAsia="等线"/>
                <w:kern w:val="0"/>
                <w:sz w:val="22"/>
              </w:rPr>
            </w:pPr>
            <w:r>
              <w:rPr>
                <w:rFonts w:eastAsia="等线"/>
                <w:kern w:val="0"/>
                <w:sz w:val="22"/>
              </w:rPr>
              <w:t>0</w:t>
            </w:r>
          </w:p>
        </w:tc>
        <w:tc>
          <w:tcPr>
            <w:tcW w:w="1418" w:type="dxa"/>
            <w:vMerge w:val="restart"/>
            <w:tcBorders>
              <w:top w:val="single" w:color="auto" w:sz="4" w:space="0"/>
              <w:left w:val="nil"/>
              <w:right w:val="single" w:color="auto" w:sz="4" w:space="0"/>
            </w:tcBorders>
            <w:vAlign w:val="center"/>
          </w:tcPr>
          <w:p w14:paraId="4EC99836">
            <w:pPr>
              <w:widowControl/>
              <w:snapToGrid w:val="0"/>
              <w:spacing w:line="300" w:lineRule="auto"/>
              <w:jc w:val="center"/>
              <w:rPr>
                <w:rFonts w:eastAsia="仿宋"/>
                <w:kern w:val="0"/>
                <w:sz w:val="24"/>
              </w:rPr>
            </w:pPr>
            <w:r>
              <w:rPr>
                <w:rFonts w:eastAsia="仿宋"/>
                <w:kern w:val="0"/>
                <w:sz w:val="24"/>
              </w:rPr>
              <w:t>7</w:t>
            </w:r>
          </w:p>
        </w:tc>
      </w:tr>
      <w:tr w14:paraId="183CDC53">
        <w:tblPrEx>
          <w:tblCellMar>
            <w:top w:w="0" w:type="dxa"/>
            <w:left w:w="108" w:type="dxa"/>
            <w:bottom w:w="0" w:type="dxa"/>
            <w:right w:w="108" w:type="dxa"/>
          </w:tblCellMar>
        </w:tblPrEx>
        <w:trPr>
          <w:trHeight w:val="570" w:hRule="atLeast"/>
        </w:trPr>
        <w:tc>
          <w:tcPr>
            <w:tcW w:w="1980" w:type="dxa"/>
            <w:gridSpan w:val="2"/>
            <w:vMerge w:val="continue"/>
            <w:tcBorders>
              <w:top w:val="single" w:color="auto" w:sz="4" w:space="0"/>
              <w:left w:val="single" w:color="auto" w:sz="4" w:space="0"/>
              <w:right w:val="single" w:color="auto" w:sz="4" w:space="0"/>
            </w:tcBorders>
            <w:vAlign w:val="center"/>
          </w:tcPr>
          <w:p w14:paraId="0AE0E371">
            <w:pPr>
              <w:widowControl/>
              <w:snapToGrid w:val="0"/>
              <w:spacing w:line="300" w:lineRule="auto"/>
              <w:jc w:val="center"/>
              <w:rPr>
                <w:rFonts w:eastAsia="等线"/>
                <w:kern w:val="0"/>
                <w:sz w:val="22"/>
              </w:rPr>
            </w:pPr>
          </w:p>
        </w:tc>
        <w:tc>
          <w:tcPr>
            <w:tcW w:w="2977" w:type="dxa"/>
            <w:tcBorders>
              <w:top w:val="nil"/>
              <w:left w:val="nil"/>
              <w:bottom w:val="single" w:color="auto" w:sz="4" w:space="0"/>
              <w:right w:val="single" w:color="auto" w:sz="4" w:space="0"/>
            </w:tcBorders>
            <w:vAlign w:val="bottom"/>
          </w:tcPr>
          <w:p w14:paraId="70821182">
            <w:pPr>
              <w:widowControl/>
              <w:spacing w:line="360" w:lineRule="auto"/>
              <w:jc w:val="center"/>
              <w:rPr>
                <w:rFonts w:eastAsia="等线"/>
                <w:kern w:val="0"/>
                <w:sz w:val="22"/>
              </w:rPr>
            </w:pPr>
            <w:r>
              <w:rPr>
                <w:rFonts w:eastAsia="等线"/>
                <w:kern w:val="0"/>
                <w:sz w:val="22"/>
              </w:rPr>
              <w:t>学术活动</w:t>
            </w:r>
          </w:p>
        </w:tc>
        <w:tc>
          <w:tcPr>
            <w:tcW w:w="1281" w:type="dxa"/>
            <w:tcBorders>
              <w:top w:val="nil"/>
              <w:left w:val="nil"/>
              <w:bottom w:val="single" w:color="auto" w:sz="4" w:space="0"/>
              <w:right w:val="single" w:color="auto" w:sz="4" w:space="0"/>
            </w:tcBorders>
            <w:vAlign w:val="bottom"/>
          </w:tcPr>
          <w:p w14:paraId="48E68F8D">
            <w:pPr>
              <w:widowControl/>
              <w:spacing w:line="36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501E00A5">
            <w:pPr>
              <w:widowControl/>
              <w:spacing w:line="360" w:lineRule="auto"/>
              <w:jc w:val="center"/>
              <w:rPr>
                <w:rFonts w:eastAsia="等线"/>
                <w:kern w:val="0"/>
                <w:sz w:val="22"/>
              </w:rPr>
            </w:pPr>
            <w:r>
              <w:rPr>
                <w:rFonts w:eastAsia="等线"/>
                <w:kern w:val="0"/>
                <w:sz w:val="22"/>
              </w:rPr>
              <w:t>1</w:t>
            </w:r>
          </w:p>
        </w:tc>
        <w:tc>
          <w:tcPr>
            <w:tcW w:w="1418" w:type="dxa"/>
            <w:vMerge w:val="continue"/>
            <w:tcBorders>
              <w:top w:val="single" w:color="auto" w:sz="4" w:space="0"/>
              <w:left w:val="nil"/>
              <w:right w:val="single" w:color="auto" w:sz="4" w:space="0"/>
            </w:tcBorders>
            <w:vAlign w:val="center"/>
          </w:tcPr>
          <w:p w14:paraId="2A0B8D6A">
            <w:pPr>
              <w:widowControl/>
              <w:snapToGrid w:val="0"/>
              <w:spacing w:line="300" w:lineRule="auto"/>
              <w:jc w:val="center"/>
              <w:rPr>
                <w:rFonts w:eastAsia="仿宋"/>
                <w:kern w:val="0"/>
                <w:sz w:val="24"/>
              </w:rPr>
            </w:pPr>
          </w:p>
        </w:tc>
      </w:tr>
      <w:tr w14:paraId="7CBBE4F2">
        <w:tblPrEx>
          <w:tblCellMar>
            <w:top w:w="0" w:type="dxa"/>
            <w:left w:w="108" w:type="dxa"/>
            <w:bottom w:w="0" w:type="dxa"/>
            <w:right w:w="108" w:type="dxa"/>
          </w:tblCellMar>
        </w:tblPrEx>
        <w:trPr>
          <w:trHeight w:val="570" w:hRule="atLeast"/>
        </w:trPr>
        <w:tc>
          <w:tcPr>
            <w:tcW w:w="1980" w:type="dxa"/>
            <w:gridSpan w:val="2"/>
            <w:vMerge w:val="continue"/>
            <w:tcBorders>
              <w:top w:val="single" w:color="auto" w:sz="4" w:space="0"/>
              <w:left w:val="single" w:color="auto" w:sz="4" w:space="0"/>
              <w:right w:val="single" w:color="auto" w:sz="4" w:space="0"/>
            </w:tcBorders>
            <w:vAlign w:val="center"/>
          </w:tcPr>
          <w:p w14:paraId="6295EAA0">
            <w:pPr>
              <w:widowControl/>
              <w:snapToGrid w:val="0"/>
              <w:spacing w:line="300" w:lineRule="auto"/>
              <w:jc w:val="center"/>
              <w:rPr>
                <w:rFonts w:eastAsia="等线"/>
                <w:kern w:val="0"/>
                <w:sz w:val="22"/>
              </w:rPr>
            </w:pPr>
          </w:p>
        </w:tc>
        <w:tc>
          <w:tcPr>
            <w:tcW w:w="2977" w:type="dxa"/>
            <w:tcBorders>
              <w:top w:val="nil"/>
              <w:left w:val="nil"/>
              <w:bottom w:val="single" w:color="auto" w:sz="4" w:space="0"/>
              <w:right w:val="single" w:color="auto" w:sz="4" w:space="0"/>
            </w:tcBorders>
            <w:vAlign w:val="bottom"/>
          </w:tcPr>
          <w:p w14:paraId="2C56DFA2">
            <w:pPr>
              <w:widowControl/>
              <w:spacing w:line="360" w:lineRule="auto"/>
              <w:jc w:val="center"/>
              <w:rPr>
                <w:rFonts w:eastAsia="等线"/>
                <w:kern w:val="0"/>
                <w:sz w:val="22"/>
              </w:rPr>
            </w:pPr>
            <w:r>
              <w:rPr>
                <w:rFonts w:eastAsia="等线"/>
                <w:kern w:val="0"/>
                <w:sz w:val="22"/>
              </w:rPr>
              <w:t>专业实践</w:t>
            </w:r>
          </w:p>
        </w:tc>
        <w:tc>
          <w:tcPr>
            <w:tcW w:w="1281" w:type="dxa"/>
            <w:tcBorders>
              <w:top w:val="nil"/>
              <w:left w:val="nil"/>
              <w:bottom w:val="single" w:color="auto" w:sz="4" w:space="0"/>
              <w:right w:val="single" w:color="auto" w:sz="4" w:space="0"/>
            </w:tcBorders>
            <w:vAlign w:val="bottom"/>
          </w:tcPr>
          <w:p w14:paraId="1BCE05B9">
            <w:pPr>
              <w:widowControl/>
              <w:spacing w:line="36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49BE42B4">
            <w:pPr>
              <w:widowControl/>
              <w:spacing w:line="360" w:lineRule="auto"/>
              <w:jc w:val="center"/>
              <w:rPr>
                <w:rFonts w:eastAsia="等线"/>
                <w:kern w:val="0"/>
                <w:sz w:val="22"/>
              </w:rPr>
            </w:pPr>
            <w:r>
              <w:rPr>
                <w:rFonts w:eastAsia="等线"/>
                <w:kern w:val="0"/>
                <w:sz w:val="22"/>
              </w:rPr>
              <w:t>3</w:t>
            </w:r>
          </w:p>
        </w:tc>
        <w:tc>
          <w:tcPr>
            <w:tcW w:w="1418" w:type="dxa"/>
            <w:vMerge w:val="continue"/>
            <w:tcBorders>
              <w:top w:val="single" w:color="auto" w:sz="4" w:space="0"/>
              <w:left w:val="nil"/>
              <w:right w:val="single" w:color="auto" w:sz="4" w:space="0"/>
            </w:tcBorders>
            <w:vAlign w:val="center"/>
          </w:tcPr>
          <w:p w14:paraId="2311CB95">
            <w:pPr>
              <w:widowControl/>
              <w:snapToGrid w:val="0"/>
              <w:spacing w:line="300" w:lineRule="auto"/>
              <w:jc w:val="center"/>
              <w:rPr>
                <w:rFonts w:eastAsia="仿宋"/>
                <w:kern w:val="0"/>
                <w:sz w:val="24"/>
              </w:rPr>
            </w:pPr>
          </w:p>
        </w:tc>
      </w:tr>
      <w:tr w14:paraId="60D939E0">
        <w:tblPrEx>
          <w:tblCellMar>
            <w:top w:w="0" w:type="dxa"/>
            <w:left w:w="108" w:type="dxa"/>
            <w:bottom w:w="0" w:type="dxa"/>
            <w:right w:w="108" w:type="dxa"/>
          </w:tblCellMar>
        </w:tblPrEx>
        <w:trPr>
          <w:trHeight w:val="570" w:hRule="atLeast"/>
        </w:trPr>
        <w:tc>
          <w:tcPr>
            <w:tcW w:w="1980" w:type="dxa"/>
            <w:gridSpan w:val="2"/>
            <w:vMerge w:val="continue"/>
            <w:tcBorders>
              <w:top w:val="single" w:color="auto" w:sz="4" w:space="0"/>
              <w:left w:val="single" w:color="auto" w:sz="4" w:space="0"/>
              <w:right w:val="single" w:color="auto" w:sz="4" w:space="0"/>
            </w:tcBorders>
            <w:vAlign w:val="center"/>
          </w:tcPr>
          <w:p w14:paraId="3D5271F8">
            <w:pPr>
              <w:widowControl/>
              <w:snapToGrid w:val="0"/>
              <w:spacing w:line="300" w:lineRule="auto"/>
              <w:jc w:val="center"/>
              <w:rPr>
                <w:rFonts w:eastAsia="等线"/>
                <w:kern w:val="0"/>
                <w:sz w:val="22"/>
              </w:rPr>
            </w:pPr>
          </w:p>
        </w:tc>
        <w:tc>
          <w:tcPr>
            <w:tcW w:w="2977" w:type="dxa"/>
            <w:tcBorders>
              <w:top w:val="nil"/>
              <w:left w:val="nil"/>
              <w:bottom w:val="single" w:color="auto" w:sz="4" w:space="0"/>
              <w:right w:val="single" w:color="auto" w:sz="4" w:space="0"/>
            </w:tcBorders>
            <w:vAlign w:val="bottom"/>
          </w:tcPr>
          <w:p w14:paraId="1EEB03BF">
            <w:pPr>
              <w:widowControl/>
              <w:jc w:val="center"/>
              <w:rPr>
                <w:rFonts w:eastAsia="等线"/>
                <w:kern w:val="0"/>
                <w:sz w:val="22"/>
              </w:rPr>
            </w:pPr>
            <w:r>
              <w:rPr>
                <w:rFonts w:eastAsia="等线"/>
                <w:kern w:val="0"/>
                <w:sz w:val="22"/>
              </w:rPr>
              <w:t>学位论文开题或实践成果可行性论证</w:t>
            </w:r>
          </w:p>
        </w:tc>
        <w:tc>
          <w:tcPr>
            <w:tcW w:w="1281" w:type="dxa"/>
            <w:tcBorders>
              <w:top w:val="nil"/>
              <w:left w:val="nil"/>
              <w:bottom w:val="single" w:color="auto" w:sz="4" w:space="0"/>
              <w:right w:val="single" w:color="auto" w:sz="4" w:space="0"/>
            </w:tcBorders>
            <w:vAlign w:val="bottom"/>
          </w:tcPr>
          <w:p w14:paraId="38FB8942">
            <w:pPr>
              <w:widowControl/>
              <w:spacing w:line="48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24CD7EC5">
            <w:pPr>
              <w:widowControl/>
              <w:spacing w:line="360" w:lineRule="auto"/>
              <w:jc w:val="center"/>
              <w:rPr>
                <w:rFonts w:eastAsia="等线"/>
                <w:kern w:val="0"/>
                <w:sz w:val="22"/>
              </w:rPr>
            </w:pPr>
            <w:r>
              <w:rPr>
                <w:rFonts w:eastAsia="等线"/>
                <w:kern w:val="0"/>
                <w:sz w:val="22"/>
              </w:rPr>
              <w:t>1</w:t>
            </w:r>
          </w:p>
        </w:tc>
        <w:tc>
          <w:tcPr>
            <w:tcW w:w="1418" w:type="dxa"/>
            <w:vMerge w:val="continue"/>
            <w:tcBorders>
              <w:top w:val="single" w:color="auto" w:sz="4" w:space="0"/>
              <w:left w:val="nil"/>
              <w:right w:val="single" w:color="auto" w:sz="4" w:space="0"/>
            </w:tcBorders>
            <w:vAlign w:val="center"/>
          </w:tcPr>
          <w:p w14:paraId="7A852494">
            <w:pPr>
              <w:widowControl/>
              <w:snapToGrid w:val="0"/>
              <w:spacing w:line="300" w:lineRule="auto"/>
              <w:jc w:val="center"/>
              <w:rPr>
                <w:rFonts w:eastAsia="仿宋"/>
                <w:kern w:val="0"/>
                <w:sz w:val="24"/>
              </w:rPr>
            </w:pPr>
          </w:p>
        </w:tc>
      </w:tr>
      <w:tr w14:paraId="0251A272">
        <w:tblPrEx>
          <w:tblCellMar>
            <w:top w:w="0" w:type="dxa"/>
            <w:left w:w="108" w:type="dxa"/>
            <w:bottom w:w="0" w:type="dxa"/>
            <w:right w:w="108" w:type="dxa"/>
          </w:tblCellMar>
        </w:tblPrEx>
        <w:trPr>
          <w:trHeight w:val="570" w:hRule="atLeast"/>
        </w:trPr>
        <w:tc>
          <w:tcPr>
            <w:tcW w:w="1980" w:type="dxa"/>
            <w:gridSpan w:val="2"/>
            <w:vMerge w:val="continue"/>
            <w:tcBorders>
              <w:left w:val="single" w:color="auto" w:sz="4" w:space="0"/>
              <w:right w:val="single" w:color="auto" w:sz="4" w:space="0"/>
            </w:tcBorders>
            <w:vAlign w:val="center"/>
          </w:tcPr>
          <w:p w14:paraId="71B76003">
            <w:pPr>
              <w:widowControl/>
              <w:snapToGrid w:val="0"/>
              <w:spacing w:line="300" w:lineRule="auto"/>
              <w:jc w:val="center"/>
              <w:rPr>
                <w:rFonts w:eastAsia="等线"/>
                <w:kern w:val="0"/>
                <w:sz w:val="22"/>
              </w:rPr>
            </w:pPr>
          </w:p>
        </w:tc>
        <w:tc>
          <w:tcPr>
            <w:tcW w:w="2977" w:type="dxa"/>
            <w:tcBorders>
              <w:top w:val="nil"/>
              <w:left w:val="nil"/>
              <w:bottom w:val="single" w:color="auto" w:sz="4" w:space="0"/>
              <w:right w:val="single" w:color="auto" w:sz="4" w:space="0"/>
            </w:tcBorders>
            <w:vAlign w:val="bottom"/>
          </w:tcPr>
          <w:p w14:paraId="22EB5385">
            <w:pPr>
              <w:widowControl/>
              <w:spacing w:line="360" w:lineRule="auto"/>
              <w:jc w:val="center"/>
              <w:rPr>
                <w:rFonts w:eastAsia="等线"/>
                <w:kern w:val="0"/>
                <w:sz w:val="22"/>
              </w:rPr>
            </w:pPr>
            <w:r>
              <w:rPr>
                <w:rFonts w:eastAsia="等线"/>
                <w:kern w:val="0"/>
                <w:sz w:val="22"/>
              </w:rPr>
              <w:t>中期考核</w:t>
            </w:r>
          </w:p>
        </w:tc>
        <w:tc>
          <w:tcPr>
            <w:tcW w:w="1281" w:type="dxa"/>
            <w:tcBorders>
              <w:top w:val="nil"/>
              <w:left w:val="nil"/>
              <w:bottom w:val="single" w:color="auto" w:sz="4" w:space="0"/>
              <w:right w:val="single" w:color="auto" w:sz="4" w:space="0"/>
            </w:tcBorders>
            <w:vAlign w:val="bottom"/>
          </w:tcPr>
          <w:p w14:paraId="38EFD5AE">
            <w:pPr>
              <w:widowControl/>
              <w:spacing w:line="36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63E54F2C">
            <w:pPr>
              <w:widowControl/>
              <w:spacing w:line="360" w:lineRule="auto"/>
              <w:jc w:val="center"/>
              <w:rPr>
                <w:rFonts w:eastAsia="等线"/>
                <w:kern w:val="0"/>
                <w:sz w:val="22"/>
              </w:rPr>
            </w:pPr>
            <w:r>
              <w:rPr>
                <w:rFonts w:eastAsia="等线"/>
                <w:kern w:val="0"/>
                <w:sz w:val="22"/>
              </w:rPr>
              <w:t>1</w:t>
            </w:r>
          </w:p>
        </w:tc>
        <w:tc>
          <w:tcPr>
            <w:tcW w:w="1418" w:type="dxa"/>
            <w:vMerge w:val="continue"/>
            <w:tcBorders>
              <w:left w:val="nil"/>
              <w:right w:val="single" w:color="auto" w:sz="4" w:space="0"/>
            </w:tcBorders>
            <w:vAlign w:val="center"/>
          </w:tcPr>
          <w:p w14:paraId="6F1B3874">
            <w:pPr>
              <w:widowControl/>
              <w:snapToGrid w:val="0"/>
              <w:spacing w:line="300" w:lineRule="auto"/>
              <w:jc w:val="center"/>
              <w:rPr>
                <w:rFonts w:eastAsia="仿宋"/>
                <w:kern w:val="0"/>
                <w:sz w:val="24"/>
              </w:rPr>
            </w:pPr>
          </w:p>
        </w:tc>
      </w:tr>
      <w:tr w14:paraId="221B0AB9">
        <w:tblPrEx>
          <w:tblCellMar>
            <w:top w:w="0" w:type="dxa"/>
            <w:left w:w="108" w:type="dxa"/>
            <w:bottom w:w="0" w:type="dxa"/>
            <w:right w:w="108" w:type="dxa"/>
          </w:tblCellMar>
        </w:tblPrEx>
        <w:trPr>
          <w:trHeight w:val="570" w:hRule="atLeast"/>
        </w:trPr>
        <w:tc>
          <w:tcPr>
            <w:tcW w:w="1980" w:type="dxa"/>
            <w:gridSpan w:val="2"/>
            <w:vMerge w:val="continue"/>
            <w:tcBorders>
              <w:left w:val="single" w:color="auto" w:sz="4" w:space="0"/>
              <w:right w:val="single" w:color="auto" w:sz="4" w:space="0"/>
            </w:tcBorders>
            <w:vAlign w:val="center"/>
          </w:tcPr>
          <w:p w14:paraId="5C83334E">
            <w:pPr>
              <w:widowControl/>
              <w:snapToGrid w:val="0"/>
              <w:spacing w:line="300" w:lineRule="auto"/>
              <w:jc w:val="center"/>
              <w:rPr>
                <w:rFonts w:eastAsia="等线"/>
                <w:kern w:val="0"/>
                <w:sz w:val="22"/>
              </w:rPr>
            </w:pPr>
          </w:p>
        </w:tc>
        <w:tc>
          <w:tcPr>
            <w:tcW w:w="2977" w:type="dxa"/>
            <w:tcBorders>
              <w:top w:val="nil"/>
              <w:left w:val="nil"/>
              <w:bottom w:val="single" w:color="auto" w:sz="4" w:space="0"/>
              <w:right w:val="single" w:color="auto" w:sz="4" w:space="0"/>
            </w:tcBorders>
            <w:vAlign w:val="bottom"/>
          </w:tcPr>
          <w:p w14:paraId="305421E3">
            <w:pPr>
              <w:widowControl/>
              <w:spacing w:line="360" w:lineRule="auto"/>
              <w:jc w:val="center"/>
              <w:rPr>
                <w:rFonts w:eastAsia="等线"/>
                <w:kern w:val="0"/>
                <w:sz w:val="22"/>
              </w:rPr>
            </w:pPr>
            <w:r>
              <w:rPr>
                <w:rFonts w:eastAsia="等线"/>
                <w:kern w:val="0"/>
                <w:sz w:val="22"/>
              </w:rPr>
              <w:t>预答辩</w:t>
            </w:r>
          </w:p>
        </w:tc>
        <w:tc>
          <w:tcPr>
            <w:tcW w:w="1281" w:type="dxa"/>
            <w:tcBorders>
              <w:top w:val="nil"/>
              <w:left w:val="nil"/>
              <w:bottom w:val="single" w:color="auto" w:sz="4" w:space="0"/>
              <w:right w:val="single" w:color="auto" w:sz="4" w:space="0"/>
            </w:tcBorders>
            <w:vAlign w:val="bottom"/>
          </w:tcPr>
          <w:p w14:paraId="26A4C02F">
            <w:pPr>
              <w:widowControl/>
              <w:spacing w:line="36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196D7FD4">
            <w:pPr>
              <w:widowControl/>
              <w:spacing w:line="360" w:lineRule="auto"/>
              <w:jc w:val="center"/>
              <w:rPr>
                <w:rFonts w:eastAsia="等线"/>
                <w:kern w:val="0"/>
                <w:sz w:val="22"/>
              </w:rPr>
            </w:pPr>
            <w:r>
              <w:rPr>
                <w:rFonts w:eastAsia="等线"/>
                <w:kern w:val="0"/>
                <w:sz w:val="22"/>
              </w:rPr>
              <w:t>1</w:t>
            </w:r>
          </w:p>
        </w:tc>
        <w:tc>
          <w:tcPr>
            <w:tcW w:w="1418" w:type="dxa"/>
            <w:vMerge w:val="continue"/>
            <w:tcBorders>
              <w:left w:val="nil"/>
              <w:right w:val="single" w:color="auto" w:sz="4" w:space="0"/>
            </w:tcBorders>
            <w:vAlign w:val="center"/>
          </w:tcPr>
          <w:p w14:paraId="18CD96B3">
            <w:pPr>
              <w:widowControl/>
              <w:snapToGrid w:val="0"/>
              <w:spacing w:line="300" w:lineRule="auto"/>
              <w:jc w:val="center"/>
              <w:rPr>
                <w:rFonts w:eastAsia="仿宋"/>
                <w:kern w:val="0"/>
                <w:sz w:val="24"/>
              </w:rPr>
            </w:pPr>
          </w:p>
        </w:tc>
      </w:tr>
      <w:tr w14:paraId="593FB3AF">
        <w:tblPrEx>
          <w:tblCellMar>
            <w:top w:w="0" w:type="dxa"/>
            <w:left w:w="108" w:type="dxa"/>
            <w:bottom w:w="0" w:type="dxa"/>
            <w:right w:w="108" w:type="dxa"/>
          </w:tblCellMar>
        </w:tblPrEx>
        <w:trPr>
          <w:trHeight w:val="570" w:hRule="atLeast"/>
        </w:trPr>
        <w:tc>
          <w:tcPr>
            <w:tcW w:w="1980" w:type="dxa"/>
            <w:gridSpan w:val="2"/>
            <w:vMerge w:val="continue"/>
            <w:tcBorders>
              <w:left w:val="single" w:color="auto" w:sz="4" w:space="0"/>
              <w:bottom w:val="single" w:color="auto" w:sz="4" w:space="0"/>
              <w:right w:val="single" w:color="auto" w:sz="4" w:space="0"/>
            </w:tcBorders>
            <w:vAlign w:val="center"/>
          </w:tcPr>
          <w:p w14:paraId="529677D1">
            <w:pPr>
              <w:widowControl/>
              <w:snapToGrid w:val="0"/>
              <w:spacing w:line="300" w:lineRule="auto"/>
              <w:jc w:val="center"/>
              <w:rPr>
                <w:rFonts w:eastAsia="等线"/>
                <w:kern w:val="0"/>
                <w:sz w:val="22"/>
              </w:rPr>
            </w:pPr>
          </w:p>
        </w:tc>
        <w:tc>
          <w:tcPr>
            <w:tcW w:w="2977" w:type="dxa"/>
            <w:tcBorders>
              <w:top w:val="nil"/>
              <w:left w:val="nil"/>
              <w:bottom w:val="single" w:color="auto" w:sz="4" w:space="0"/>
              <w:right w:val="single" w:color="auto" w:sz="4" w:space="0"/>
            </w:tcBorders>
            <w:vAlign w:val="bottom"/>
          </w:tcPr>
          <w:p w14:paraId="717F6A6F">
            <w:pPr>
              <w:widowControl/>
              <w:spacing w:line="360" w:lineRule="auto"/>
              <w:jc w:val="center"/>
              <w:rPr>
                <w:rFonts w:eastAsia="等线"/>
                <w:kern w:val="0"/>
                <w:sz w:val="22"/>
              </w:rPr>
            </w:pPr>
            <w:r>
              <w:rPr>
                <w:rFonts w:eastAsia="等线"/>
                <w:kern w:val="0"/>
                <w:sz w:val="22"/>
              </w:rPr>
              <w:t>答辩</w:t>
            </w:r>
          </w:p>
        </w:tc>
        <w:tc>
          <w:tcPr>
            <w:tcW w:w="1281" w:type="dxa"/>
            <w:tcBorders>
              <w:top w:val="nil"/>
              <w:left w:val="nil"/>
              <w:bottom w:val="single" w:color="auto" w:sz="4" w:space="0"/>
              <w:right w:val="single" w:color="auto" w:sz="4" w:space="0"/>
            </w:tcBorders>
            <w:vAlign w:val="bottom"/>
          </w:tcPr>
          <w:p w14:paraId="4023188A">
            <w:pPr>
              <w:widowControl/>
              <w:spacing w:line="360" w:lineRule="auto"/>
              <w:jc w:val="center"/>
              <w:rPr>
                <w:rFonts w:eastAsia="等线"/>
                <w:kern w:val="0"/>
                <w:sz w:val="22"/>
              </w:rPr>
            </w:pPr>
            <w:r>
              <w:rPr>
                <w:rFonts w:eastAsia="等线"/>
                <w:kern w:val="0"/>
                <w:sz w:val="22"/>
              </w:rPr>
              <w:t>必修</w:t>
            </w:r>
          </w:p>
        </w:tc>
        <w:tc>
          <w:tcPr>
            <w:tcW w:w="821" w:type="dxa"/>
            <w:tcBorders>
              <w:top w:val="nil"/>
              <w:left w:val="nil"/>
              <w:bottom w:val="single" w:color="auto" w:sz="4" w:space="0"/>
              <w:right w:val="single" w:color="auto" w:sz="4" w:space="0"/>
            </w:tcBorders>
            <w:vAlign w:val="bottom"/>
          </w:tcPr>
          <w:p w14:paraId="1D71357C">
            <w:pPr>
              <w:widowControl/>
              <w:spacing w:line="360" w:lineRule="auto"/>
              <w:jc w:val="center"/>
              <w:rPr>
                <w:rFonts w:eastAsia="等线"/>
                <w:kern w:val="0"/>
                <w:sz w:val="22"/>
              </w:rPr>
            </w:pPr>
            <w:r>
              <w:rPr>
                <w:rFonts w:eastAsia="等线"/>
                <w:kern w:val="0"/>
                <w:sz w:val="22"/>
              </w:rPr>
              <w:t>0</w:t>
            </w:r>
          </w:p>
        </w:tc>
        <w:tc>
          <w:tcPr>
            <w:tcW w:w="1418" w:type="dxa"/>
            <w:vMerge w:val="continue"/>
            <w:tcBorders>
              <w:left w:val="nil"/>
              <w:bottom w:val="single" w:color="auto" w:sz="4" w:space="0"/>
              <w:right w:val="single" w:color="auto" w:sz="4" w:space="0"/>
            </w:tcBorders>
            <w:vAlign w:val="center"/>
          </w:tcPr>
          <w:p w14:paraId="1B1D973D">
            <w:pPr>
              <w:widowControl/>
              <w:snapToGrid w:val="0"/>
              <w:spacing w:line="300" w:lineRule="auto"/>
              <w:jc w:val="center"/>
              <w:rPr>
                <w:rFonts w:eastAsia="仿宋"/>
                <w:kern w:val="0"/>
                <w:sz w:val="24"/>
              </w:rPr>
            </w:pPr>
          </w:p>
        </w:tc>
      </w:tr>
      <w:tr w14:paraId="4D12F10F">
        <w:tblPrEx>
          <w:tblCellMar>
            <w:top w:w="0" w:type="dxa"/>
            <w:left w:w="108" w:type="dxa"/>
            <w:bottom w:w="0" w:type="dxa"/>
            <w:right w:w="108" w:type="dxa"/>
          </w:tblCellMar>
        </w:tblPrEx>
        <w:trPr>
          <w:trHeight w:val="528" w:hRule="atLeast"/>
        </w:trPr>
        <w:tc>
          <w:tcPr>
            <w:tcW w:w="1980" w:type="dxa"/>
            <w:gridSpan w:val="2"/>
            <w:tcBorders>
              <w:top w:val="single" w:color="auto" w:sz="4" w:space="0"/>
              <w:left w:val="single" w:color="auto" w:sz="4" w:space="0"/>
              <w:bottom w:val="single" w:color="auto" w:sz="4" w:space="0"/>
              <w:right w:val="single" w:color="auto" w:sz="4" w:space="0"/>
            </w:tcBorders>
            <w:vAlign w:val="bottom"/>
          </w:tcPr>
          <w:p w14:paraId="7E6267B3">
            <w:pPr>
              <w:widowControl/>
              <w:spacing w:line="360" w:lineRule="auto"/>
              <w:jc w:val="center"/>
              <w:rPr>
                <w:rFonts w:eastAsia="等线"/>
                <w:kern w:val="0"/>
                <w:sz w:val="22"/>
              </w:rPr>
            </w:pPr>
            <w:r>
              <w:rPr>
                <w:rFonts w:eastAsia="等线"/>
                <w:kern w:val="0"/>
                <w:sz w:val="22"/>
              </w:rPr>
              <w:t>总学分</w:t>
            </w:r>
          </w:p>
        </w:tc>
        <w:tc>
          <w:tcPr>
            <w:tcW w:w="2977" w:type="dxa"/>
            <w:tcBorders>
              <w:top w:val="nil"/>
              <w:left w:val="nil"/>
              <w:bottom w:val="single" w:color="auto" w:sz="4" w:space="0"/>
              <w:right w:val="single" w:color="auto" w:sz="4" w:space="0"/>
            </w:tcBorders>
            <w:vAlign w:val="bottom"/>
          </w:tcPr>
          <w:p w14:paraId="20312787">
            <w:pPr>
              <w:widowControl/>
              <w:spacing w:line="360" w:lineRule="auto"/>
              <w:jc w:val="center"/>
              <w:rPr>
                <w:rFonts w:eastAsia="等线"/>
                <w:kern w:val="0"/>
                <w:sz w:val="22"/>
              </w:rPr>
            </w:pPr>
          </w:p>
        </w:tc>
        <w:tc>
          <w:tcPr>
            <w:tcW w:w="1281" w:type="dxa"/>
            <w:tcBorders>
              <w:top w:val="nil"/>
              <w:left w:val="nil"/>
              <w:bottom w:val="single" w:color="auto" w:sz="4" w:space="0"/>
              <w:right w:val="single" w:color="auto" w:sz="4" w:space="0"/>
            </w:tcBorders>
            <w:vAlign w:val="bottom"/>
          </w:tcPr>
          <w:p w14:paraId="18C6364B">
            <w:pPr>
              <w:widowControl/>
              <w:spacing w:line="360" w:lineRule="auto"/>
              <w:jc w:val="center"/>
              <w:rPr>
                <w:rFonts w:eastAsia="等线"/>
                <w:kern w:val="0"/>
                <w:sz w:val="22"/>
              </w:rPr>
            </w:pPr>
          </w:p>
        </w:tc>
        <w:tc>
          <w:tcPr>
            <w:tcW w:w="821" w:type="dxa"/>
            <w:tcBorders>
              <w:top w:val="nil"/>
              <w:left w:val="nil"/>
              <w:bottom w:val="single" w:color="auto" w:sz="4" w:space="0"/>
              <w:right w:val="single" w:color="auto" w:sz="4" w:space="0"/>
            </w:tcBorders>
            <w:vAlign w:val="bottom"/>
          </w:tcPr>
          <w:p w14:paraId="071DA355">
            <w:pPr>
              <w:widowControl/>
              <w:spacing w:line="360" w:lineRule="auto"/>
              <w:jc w:val="center"/>
              <w:rPr>
                <w:rFonts w:eastAsia="等线"/>
                <w:kern w:val="0"/>
                <w:sz w:val="22"/>
              </w:rPr>
            </w:pPr>
          </w:p>
        </w:tc>
        <w:tc>
          <w:tcPr>
            <w:tcW w:w="1418" w:type="dxa"/>
            <w:tcBorders>
              <w:top w:val="single" w:color="auto" w:sz="4" w:space="0"/>
              <w:left w:val="nil"/>
              <w:bottom w:val="single" w:color="auto" w:sz="4" w:space="0"/>
              <w:right w:val="single" w:color="auto" w:sz="4" w:space="0"/>
            </w:tcBorders>
            <w:vAlign w:val="bottom"/>
          </w:tcPr>
          <w:p w14:paraId="170F9D51">
            <w:pPr>
              <w:widowControl/>
              <w:spacing w:line="360" w:lineRule="auto"/>
              <w:jc w:val="center"/>
              <w:rPr>
                <w:rFonts w:eastAsia="等线"/>
                <w:kern w:val="0"/>
                <w:sz w:val="22"/>
              </w:rPr>
            </w:pPr>
            <w:r>
              <w:rPr>
                <w:kern w:val="0"/>
                <w:szCs w:val="21"/>
              </w:rPr>
              <w:t>≥</w:t>
            </w:r>
            <w:r>
              <w:rPr>
                <w:rFonts w:hint="eastAsia" w:eastAsia="等线"/>
                <w:kern w:val="0"/>
                <w:sz w:val="22"/>
              </w:rPr>
              <w:t>22</w:t>
            </w:r>
          </w:p>
        </w:tc>
      </w:tr>
    </w:tbl>
    <w:p w14:paraId="1E46B483">
      <w:pPr>
        <w:pStyle w:val="4"/>
        <w:spacing w:before="240" w:line="400" w:lineRule="exact"/>
        <w:ind w:firstLine="0"/>
        <w:rPr>
          <w:b/>
          <w:bCs/>
        </w:rPr>
      </w:pPr>
      <w:r>
        <w:rPr>
          <w:b/>
          <w:bCs/>
        </w:rPr>
        <w:t>六、过程环节</w:t>
      </w:r>
    </w:p>
    <w:p w14:paraId="1BA2BC1F">
      <w:pPr>
        <w:spacing w:line="360" w:lineRule="auto"/>
        <w:ind w:firstLine="420" w:firstLineChars="200"/>
        <w:rPr>
          <w:szCs w:val="21"/>
        </w:rPr>
      </w:pPr>
      <w:r>
        <w:rPr>
          <w:szCs w:val="21"/>
        </w:rPr>
        <w:t>1.体美劳综合素养提升</w:t>
      </w:r>
    </w:p>
    <w:p w14:paraId="2A9EFB1C">
      <w:pPr>
        <w:spacing w:line="360" w:lineRule="auto"/>
        <w:ind w:firstLine="420" w:firstLineChars="200"/>
        <w:rPr>
          <w:szCs w:val="21"/>
        </w:rPr>
      </w:pPr>
      <w:r>
        <w:rPr>
          <w:szCs w:val="21"/>
        </w:rPr>
        <w:t>基于材料与化工专业学位博士研究生培养目标及基本要求，体美劳综合素养考核标准制定如下：通过系统体育锻炼培养的健康体魄、运动技能、团队协作与抗压能力，以强健体质支撑学业与科研持久力；具有审美情操、艺术表达与工程美学应用能力，注重提升对科学之美的感知力与创造力；聚焦实践技能、工匠精神与社会责任感，具备在生产科研一线锤炼动手能力、职业规范及解决复杂工程问题的实干品质。</w:t>
      </w:r>
    </w:p>
    <w:p w14:paraId="08C2AC76">
      <w:pPr>
        <w:spacing w:line="360" w:lineRule="auto"/>
        <w:ind w:firstLine="420" w:firstLineChars="200"/>
        <w:rPr>
          <w:szCs w:val="21"/>
        </w:rPr>
      </w:pPr>
      <w:r>
        <w:rPr>
          <w:szCs w:val="21"/>
        </w:rPr>
        <w:t>2.学术活动</w:t>
      </w:r>
    </w:p>
    <w:p w14:paraId="691934F1">
      <w:pPr>
        <w:spacing w:line="360" w:lineRule="auto"/>
        <w:ind w:firstLine="420" w:firstLineChars="200"/>
        <w:rPr>
          <w:szCs w:val="21"/>
        </w:rPr>
      </w:pPr>
      <w:r>
        <w:rPr>
          <w:szCs w:val="21"/>
        </w:rPr>
        <w:t>博士研究生学习期间须参加各种学术活动，并填写学术活动记录表，记录学术活动内容和收获，学术活动包括各类学术论坛、学术讲座、学术会议等。本学科博士研究生在学期间参加学术研讨不少于8次，主讲学术讲座不少于2次。博士研究生每次参加的学术研讨都需有详细记录和不低于2000字的个人反思，由导师或学科组进行考核，考核合格后获得1学分。</w:t>
      </w:r>
    </w:p>
    <w:p w14:paraId="1E02A14A">
      <w:pPr>
        <w:spacing w:line="360" w:lineRule="auto"/>
        <w:ind w:firstLine="420" w:firstLineChars="200"/>
        <w:rPr>
          <w:szCs w:val="21"/>
        </w:rPr>
      </w:pPr>
      <w:r>
        <w:rPr>
          <w:szCs w:val="21"/>
        </w:rPr>
        <w:t>3.学位论文开题或实践成果可行性论证</w:t>
      </w:r>
    </w:p>
    <w:p w14:paraId="10327E23">
      <w:pPr>
        <w:widowControl/>
        <w:spacing w:line="360" w:lineRule="auto"/>
        <w:ind w:firstLine="408" w:firstLineChars="200"/>
        <w:rPr>
          <w:kern w:val="0"/>
          <w:szCs w:val="21"/>
        </w:rPr>
      </w:pPr>
      <w:r>
        <w:rPr>
          <w:spacing w:val="-3"/>
        </w:rPr>
        <w:t>第三学期，</w:t>
      </w:r>
      <w:r>
        <w:rPr>
          <w:kern w:val="0"/>
          <w:szCs w:val="21"/>
        </w:rPr>
        <w:t>博士研究生应在广泛调查研究、阅读文献资料、了解主攻方向的最新成果和发展动态的基础上，与导师一起拟订学位论文或实践成果选题，独立完成开题或可行性报告。选题直接来源于生产实际或具有明确的领域背景，必须具备一定理论性和先进性，解决问题有一定的技术难度和工作量。</w:t>
      </w:r>
    </w:p>
    <w:p w14:paraId="2BEC4092">
      <w:pPr>
        <w:widowControl/>
        <w:spacing w:line="360" w:lineRule="auto"/>
        <w:ind w:firstLine="420" w:firstLineChars="200"/>
        <w:rPr>
          <w:kern w:val="0"/>
          <w:szCs w:val="21"/>
        </w:rPr>
      </w:pPr>
      <w:r>
        <w:rPr>
          <w:kern w:val="0"/>
          <w:szCs w:val="21"/>
        </w:rPr>
        <w:t>博士研究生应提交不少于10000字的文献综述，并提交学位论文或实践成果研究及撰写计划，由3-5名本学科或相近学科正高级职称专业技术人员或具有博士研究生导师资格的专业技术人员组成开题或论证专家组，以公开答辩方式进行，通过获得1学分。开题或可行性报告要求博士研究生报告学位论文或实践成果选题的意义、国内外该领域的研究现状、研究内容及创新点、课题研究计划等，形式可为专题研究类论文、调研报告、案例分析报告、产品设计（作品创作）报告或方案设计报告等。经过讨论认为选题合适，计划切实可行，方能正式开展学位论文或实践成果研究及撰写工作。</w:t>
      </w:r>
    </w:p>
    <w:p w14:paraId="44E13D98">
      <w:pPr>
        <w:spacing w:line="360" w:lineRule="auto"/>
        <w:ind w:firstLine="420" w:firstLineChars="200"/>
        <w:rPr>
          <w:szCs w:val="21"/>
        </w:rPr>
      </w:pPr>
      <w:r>
        <w:rPr>
          <w:szCs w:val="21"/>
        </w:rPr>
        <w:t>4.中期考核</w:t>
      </w:r>
    </w:p>
    <w:p w14:paraId="522AB3A0">
      <w:pPr>
        <w:spacing w:line="360" w:lineRule="auto"/>
        <w:ind w:firstLine="420" w:firstLineChars="200"/>
        <w:rPr>
          <w:szCs w:val="21"/>
        </w:rPr>
      </w:pPr>
      <w:r>
        <w:rPr>
          <w:szCs w:val="21"/>
        </w:rPr>
        <w:t>中期考核时间安排在第</w:t>
      </w:r>
      <w:r>
        <w:rPr>
          <w:rFonts w:hint="eastAsia"/>
          <w:szCs w:val="21"/>
        </w:rPr>
        <w:t>五</w:t>
      </w:r>
      <w:r>
        <w:rPr>
          <w:szCs w:val="21"/>
        </w:rPr>
        <w:t>学期，考核小组要对博士研究生自入学以来的科研水平、业务能力等进行综合考核，审查博士研究生各类课程学习、学术活动、实践活动、文献综述、开题报告等情况，对博士研究生掌握专业基础理论、学科前沿知识水平及分析、解决问题的能力进行考核。综合考核时，博士研究生需提交中期进展报告，报告要对应开题报告中提出的研究目标作相应的论述，应该包含研究工作进展情况，已经取得的成果，对仍未解决的问题的研究方案、技术路线等需要做的修改，以及修改后的方案的可行性分析等。达不到本培养方向考核要求的，可根据具体情况进行延期考核或分流。</w:t>
      </w:r>
    </w:p>
    <w:p w14:paraId="0FD8BD16">
      <w:pPr>
        <w:spacing w:line="360" w:lineRule="auto"/>
        <w:ind w:firstLine="420" w:firstLineChars="200"/>
        <w:rPr>
          <w:szCs w:val="21"/>
        </w:rPr>
      </w:pPr>
      <w:r>
        <w:rPr>
          <w:szCs w:val="21"/>
        </w:rPr>
        <w:t>5.专业实践</w:t>
      </w:r>
    </w:p>
    <w:p w14:paraId="455112B1">
      <w:pPr>
        <w:widowControl/>
        <w:spacing w:line="360" w:lineRule="auto"/>
        <w:ind w:firstLine="420" w:firstLineChars="200"/>
        <w:rPr>
          <w:kern w:val="0"/>
          <w:szCs w:val="21"/>
        </w:rPr>
      </w:pPr>
      <w:r>
        <w:rPr>
          <w:kern w:val="0"/>
          <w:szCs w:val="21"/>
        </w:rPr>
        <w:t>专业实践在相关行业骨干企业进行，采用集中实践与分段实践相结合的方式。具有2年及以上企业工作经历的博士研究生，专业实践环节时间累计不少于6个月，其他博士研究生不少于1年。专业实践实行导师组负责制，由校内导师和行业导师共同指导完成。专业实践前博士研究生要提交实践计划，实践期间要参加中期检查，实践结束后要按照实践计划及大纲要求撰写不少于5000字的《齐鲁工业大学专业学位博士研究生专业实践报告书》及相应的支撑材料（包括但不限于论文，专利，软著，用人单位评价）。专业实践报告经导师审核签字后，由5名副高级职称以上人员（至少1位行业企业专家）组成的专家考核小组进行专业实践环节考核评价工作。</w:t>
      </w:r>
    </w:p>
    <w:p w14:paraId="00FD4878">
      <w:pPr>
        <w:widowControl/>
        <w:spacing w:line="360" w:lineRule="auto"/>
        <w:ind w:firstLine="420" w:firstLineChars="200"/>
        <w:rPr>
          <w:kern w:val="0"/>
          <w:szCs w:val="21"/>
        </w:rPr>
      </w:pPr>
      <w:r>
        <w:rPr>
          <w:szCs w:val="21"/>
        </w:rPr>
        <w:t>6.预答辩</w:t>
      </w:r>
    </w:p>
    <w:p w14:paraId="4DD630D6">
      <w:pPr>
        <w:widowControl/>
        <w:spacing w:line="360" w:lineRule="auto"/>
        <w:ind w:firstLine="420" w:firstLineChars="200"/>
        <w:rPr>
          <w:kern w:val="0"/>
          <w:szCs w:val="21"/>
        </w:rPr>
      </w:pPr>
      <w:r>
        <w:rPr>
          <w:kern w:val="0"/>
          <w:szCs w:val="21"/>
        </w:rPr>
        <w:t>博士研究生学位论文预答辩是保证博士学位论文质量的重要环节，博士学位申请者必须进行学位论文预答辩，预答辩通过者方可向校学位办提出正式答辩申请，并进行学位论文的匿名外审工作。博士研究生完成学位论文或实践成果初稿，经导师审阅认可后，由博士研究生本人向本学科或培养单位提出预审和预答辩申请，一般在正式答辩前2个月进行。预答辩应在所属专业学位类别范围内公开进行，由博士生导师自行组织，预答辩考核小组成员至少包括3名具有博士生招生资格的导师</w:t>
      </w:r>
      <w:r>
        <w:rPr>
          <w:rFonts w:hint="eastAsia"/>
          <w:kern w:val="0"/>
          <w:szCs w:val="21"/>
        </w:rPr>
        <w:t>（至少1名有企业背景的专家）</w:t>
      </w:r>
      <w:r>
        <w:rPr>
          <w:kern w:val="0"/>
          <w:szCs w:val="21"/>
        </w:rPr>
        <w:t>。如未获通过，</w:t>
      </w:r>
      <w:r>
        <w:rPr>
          <w:rFonts w:hint="eastAsia"/>
          <w:kern w:val="0"/>
          <w:szCs w:val="21"/>
        </w:rPr>
        <w:t>必须根据考核小组提出的意见，针对课题研究工作及学位论文撰写中存在的问题，作出实质性的调整和改进，经导师确认同意后，再次提出学位论文预答辩（预审）申请。</w:t>
      </w:r>
    </w:p>
    <w:p w14:paraId="54180189">
      <w:pPr>
        <w:widowControl/>
        <w:spacing w:line="360" w:lineRule="auto"/>
        <w:ind w:firstLine="420" w:firstLineChars="200"/>
        <w:rPr>
          <w:kern w:val="0"/>
          <w:szCs w:val="21"/>
        </w:rPr>
      </w:pPr>
      <w:r>
        <w:rPr>
          <w:szCs w:val="21"/>
        </w:rPr>
        <w:t>7.答辩</w:t>
      </w:r>
    </w:p>
    <w:p w14:paraId="703F6082">
      <w:pPr>
        <w:widowControl/>
        <w:kinsoku w:val="0"/>
        <w:autoSpaceDE w:val="0"/>
        <w:autoSpaceDN w:val="0"/>
        <w:adjustRightInd w:val="0"/>
        <w:snapToGrid w:val="0"/>
        <w:spacing w:line="360" w:lineRule="auto"/>
        <w:ind w:firstLine="420" w:firstLineChars="200"/>
        <w:textAlignment w:val="baseline"/>
        <w:rPr>
          <w:szCs w:val="21"/>
        </w:rPr>
      </w:pPr>
      <w:r>
        <w:rPr>
          <w:szCs w:val="21"/>
        </w:rPr>
        <w:t>学位论文或实践成果专家评阅通过后进入答辩程序，答辩应以公开方式进行，具体按照《齐鲁工业大学（山东省科学院）研究生学位申请实施细则》（齐鲁工大鲁科院字〔2025〕27号）执行。</w:t>
      </w:r>
    </w:p>
    <w:p w14:paraId="07DE5AE5">
      <w:pPr>
        <w:widowControl/>
        <w:spacing w:line="400" w:lineRule="exact"/>
        <w:rPr>
          <w:rFonts w:eastAsia="仿宋_GB2312"/>
          <w:b/>
          <w:bCs/>
          <w:snapToGrid w:val="0"/>
          <w:spacing w:val="16"/>
          <w:kern w:val="0"/>
          <w:sz w:val="28"/>
          <w:szCs w:val="28"/>
        </w:rPr>
      </w:pPr>
      <w:r>
        <w:rPr>
          <w:b/>
          <w:bCs/>
        </w:rPr>
        <w:t>七、毕业和学位授予</w:t>
      </w:r>
    </w:p>
    <w:p w14:paraId="4F1E5F01">
      <w:pPr>
        <w:widowControl/>
        <w:spacing w:line="360" w:lineRule="auto"/>
        <w:ind w:firstLine="420" w:firstLineChars="200"/>
        <w:rPr>
          <w:kern w:val="0"/>
          <w:szCs w:val="21"/>
        </w:rPr>
      </w:pPr>
      <w:r>
        <w:rPr>
          <w:kern w:val="0"/>
          <w:szCs w:val="21"/>
        </w:rPr>
        <w:t>博士研究生修满个人培养计划内所有学分，并通过论文或实践成果答辩，准予毕业；经学位分委员会和校</w:t>
      </w:r>
      <w:r>
        <w:rPr>
          <w:rFonts w:hint="eastAsia"/>
          <w:kern w:val="0"/>
          <w:szCs w:val="21"/>
        </w:rPr>
        <w:t>（院）</w:t>
      </w:r>
      <w:r>
        <w:rPr>
          <w:kern w:val="0"/>
          <w:szCs w:val="21"/>
        </w:rPr>
        <w:t>学位委员会审查通过，由齐鲁工业大学学位委员会授予材料与化工专业相应学位。学位授予按照《齐鲁工业大学（山东省科学院）学位授予办法》（齐鲁工大鲁科院字〔2025〕21号）执行。</w:t>
      </w:r>
    </w:p>
    <w:p w14:paraId="5B7352C5">
      <w:pPr>
        <w:widowControl/>
        <w:jc w:val="left"/>
        <w:rPr>
          <w:kern w:val="0"/>
          <w:szCs w:val="21"/>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7A"/>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298804"/>
    </w:sdtPr>
    <w:sdtContent>
      <w:p w14:paraId="34AC02E8">
        <w:pPr>
          <w:pStyle w:val="11"/>
          <w:jc w:val="center"/>
          <w:rPr>
            <w:rFonts w:hint="eastAsia"/>
          </w:rPr>
        </w:pPr>
        <w:r>
          <w:fldChar w:fldCharType="begin"/>
        </w:r>
        <w:r>
          <w:instrText xml:space="preserve">PAGE   \* MERGEFORMAT</w:instrText>
        </w:r>
        <w: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2F48">
    <w:pPr>
      <w:pStyle w:val="11"/>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58</w:instrText>
    </w:r>
    <w:r>
      <w:rPr>
        <w:sz w:val="21"/>
        <w:szCs w:val="21"/>
      </w:rPr>
      <w:fldChar w:fldCharType="end"/>
    </w:r>
    <w:r>
      <w:rPr>
        <w:rFonts w:hint="eastAsia"/>
        <w:sz w:val="21"/>
        <w:szCs w:val="21"/>
      </w:rPr>
      <w:instrText xml:space="preserve">-36</w:instrText>
    </w:r>
    <w:r>
      <w:rPr>
        <w:sz w:val="21"/>
        <w:szCs w:val="21"/>
      </w:rPr>
      <w:fldChar w:fldCharType="separate"/>
    </w:r>
    <w:r>
      <w:rPr>
        <w:sz w:val="21"/>
        <w:szCs w:val="21"/>
      </w:rPr>
      <w:t>22</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B8D3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E4CB">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291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72E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F05AA3"/>
    <w:multiLevelType w:val="multilevel"/>
    <w:tmpl w:val="7CF05AA3"/>
    <w:lvl w:ilvl="0" w:tentative="0">
      <w:start w:val="1"/>
      <w:numFmt w:val="japaneseCounting"/>
      <w:lvlText w:val="%1、"/>
      <w:lvlJc w:val="left"/>
      <w:pPr>
        <w:ind w:left="450" w:hanging="4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03"/>
    <w:rsid w:val="000065C9"/>
    <w:rsid w:val="00007F40"/>
    <w:rsid w:val="0001174A"/>
    <w:rsid w:val="00011A6D"/>
    <w:rsid w:val="00013C2F"/>
    <w:rsid w:val="00015CCB"/>
    <w:rsid w:val="00016CE1"/>
    <w:rsid w:val="0002194B"/>
    <w:rsid w:val="00021C5B"/>
    <w:rsid w:val="00023423"/>
    <w:rsid w:val="00025795"/>
    <w:rsid w:val="00026D86"/>
    <w:rsid w:val="0003062B"/>
    <w:rsid w:val="00030FA4"/>
    <w:rsid w:val="00031694"/>
    <w:rsid w:val="00034B55"/>
    <w:rsid w:val="00036097"/>
    <w:rsid w:val="0003621D"/>
    <w:rsid w:val="00037ED5"/>
    <w:rsid w:val="00041102"/>
    <w:rsid w:val="00041593"/>
    <w:rsid w:val="00041ED6"/>
    <w:rsid w:val="00044BF8"/>
    <w:rsid w:val="00045660"/>
    <w:rsid w:val="000478FE"/>
    <w:rsid w:val="000518CF"/>
    <w:rsid w:val="00060094"/>
    <w:rsid w:val="00060743"/>
    <w:rsid w:val="00060A4B"/>
    <w:rsid w:val="00063E99"/>
    <w:rsid w:val="0006471A"/>
    <w:rsid w:val="00065800"/>
    <w:rsid w:val="00066441"/>
    <w:rsid w:val="00071363"/>
    <w:rsid w:val="00071559"/>
    <w:rsid w:val="00071AFF"/>
    <w:rsid w:val="0007290A"/>
    <w:rsid w:val="00072973"/>
    <w:rsid w:val="00072DD8"/>
    <w:rsid w:val="000748CF"/>
    <w:rsid w:val="00075DED"/>
    <w:rsid w:val="000766E3"/>
    <w:rsid w:val="000811DE"/>
    <w:rsid w:val="0008265F"/>
    <w:rsid w:val="000829EC"/>
    <w:rsid w:val="00084569"/>
    <w:rsid w:val="0008458C"/>
    <w:rsid w:val="00085287"/>
    <w:rsid w:val="00090558"/>
    <w:rsid w:val="0009237B"/>
    <w:rsid w:val="00092F88"/>
    <w:rsid w:val="000969D9"/>
    <w:rsid w:val="00096FEB"/>
    <w:rsid w:val="000A182D"/>
    <w:rsid w:val="000A1B23"/>
    <w:rsid w:val="000A7CF2"/>
    <w:rsid w:val="000A7D1D"/>
    <w:rsid w:val="000B0AC5"/>
    <w:rsid w:val="000B139B"/>
    <w:rsid w:val="000B17C9"/>
    <w:rsid w:val="000B2086"/>
    <w:rsid w:val="000B380E"/>
    <w:rsid w:val="000B6636"/>
    <w:rsid w:val="000B6DCA"/>
    <w:rsid w:val="000C0A11"/>
    <w:rsid w:val="000C1C1A"/>
    <w:rsid w:val="000C6173"/>
    <w:rsid w:val="000C6680"/>
    <w:rsid w:val="000C74FE"/>
    <w:rsid w:val="000D4A0C"/>
    <w:rsid w:val="000E000C"/>
    <w:rsid w:val="000E4A8A"/>
    <w:rsid w:val="000E50C8"/>
    <w:rsid w:val="000F2FB7"/>
    <w:rsid w:val="000F3533"/>
    <w:rsid w:val="000F425D"/>
    <w:rsid w:val="000F54E0"/>
    <w:rsid w:val="00100731"/>
    <w:rsid w:val="00100F17"/>
    <w:rsid w:val="001042EC"/>
    <w:rsid w:val="00104E19"/>
    <w:rsid w:val="00105CB9"/>
    <w:rsid w:val="001070EA"/>
    <w:rsid w:val="0010764A"/>
    <w:rsid w:val="00111CAA"/>
    <w:rsid w:val="00111ED1"/>
    <w:rsid w:val="00113097"/>
    <w:rsid w:val="001142BD"/>
    <w:rsid w:val="00114618"/>
    <w:rsid w:val="00114AEB"/>
    <w:rsid w:val="001154AC"/>
    <w:rsid w:val="00115922"/>
    <w:rsid w:val="00117C4E"/>
    <w:rsid w:val="001248C3"/>
    <w:rsid w:val="0012503B"/>
    <w:rsid w:val="001259D1"/>
    <w:rsid w:val="001305FF"/>
    <w:rsid w:val="00130992"/>
    <w:rsid w:val="00131905"/>
    <w:rsid w:val="00133AA8"/>
    <w:rsid w:val="00134921"/>
    <w:rsid w:val="00136013"/>
    <w:rsid w:val="00136699"/>
    <w:rsid w:val="00141B89"/>
    <w:rsid w:val="00141E27"/>
    <w:rsid w:val="00142696"/>
    <w:rsid w:val="0014339B"/>
    <w:rsid w:val="001479B8"/>
    <w:rsid w:val="001513C3"/>
    <w:rsid w:val="001513D9"/>
    <w:rsid w:val="001526C7"/>
    <w:rsid w:val="00153EC4"/>
    <w:rsid w:val="001543E1"/>
    <w:rsid w:val="00156498"/>
    <w:rsid w:val="00157A09"/>
    <w:rsid w:val="0016549B"/>
    <w:rsid w:val="0017004E"/>
    <w:rsid w:val="00170617"/>
    <w:rsid w:val="0017278D"/>
    <w:rsid w:val="00173304"/>
    <w:rsid w:val="00177604"/>
    <w:rsid w:val="001822AB"/>
    <w:rsid w:val="001828E4"/>
    <w:rsid w:val="00182F1E"/>
    <w:rsid w:val="00183720"/>
    <w:rsid w:val="001843D2"/>
    <w:rsid w:val="00185464"/>
    <w:rsid w:val="00187C96"/>
    <w:rsid w:val="00190ABE"/>
    <w:rsid w:val="0019526A"/>
    <w:rsid w:val="00195A04"/>
    <w:rsid w:val="001A1BF5"/>
    <w:rsid w:val="001A25B3"/>
    <w:rsid w:val="001A29C1"/>
    <w:rsid w:val="001A36B9"/>
    <w:rsid w:val="001A5832"/>
    <w:rsid w:val="001A6B21"/>
    <w:rsid w:val="001A6FEC"/>
    <w:rsid w:val="001B0010"/>
    <w:rsid w:val="001B0838"/>
    <w:rsid w:val="001B4CCC"/>
    <w:rsid w:val="001B5C94"/>
    <w:rsid w:val="001B6290"/>
    <w:rsid w:val="001B6C06"/>
    <w:rsid w:val="001C0B99"/>
    <w:rsid w:val="001C7D6E"/>
    <w:rsid w:val="001D560A"/>
    <w:rsid w:val="001D59D3"/>
    <w:rsid w:val="001E1C66"/>
    <w:rsid w:val="001E29E3"/>
    <w:rsid w:val="001E7CF3"/>
    <w:rsid w:val="001F3F17"/>
    <w:rsid w:val="001F57C7"/>
    <w:rsid w:val="001F7B7A"/>
    <w:rsid w:val="001F7E8F"/>
    <w:rsid w:val="00201EFE"/>
    <w:rsid w:val="00202E45"/>
    <w:rsid w:val="00204B67"/>
    <w:rsid w:val="00205452"/>
    <w:rsid w:val="00206173"/>
    <w:rsid w:val="00206563"/>
    <w:rsid w:val="00210B3A"/>
    <w:rsid w:val="00211459"/>
    <w:rsid w:val="00212BF9"/>
    <w:rsid w:val="00212CB2"/>
    <w:rsid w:val="0021368E"/>
    <w:rsid w:val="002140DB"/>
    <w:rsid w:val="002149C0"/>
    <w:rsid w:val="00216A5E"/>
    <w:rsid w:val="002173AA"/>
    <w:rsid w:val="00217FB0"/>
    <w:rsid w:val="00222362"/>
    <w:rsid w:val="002223FC"/>
    <w:rsid w:val="002228B9"/>
    <w:rsid w:val="00224D74"/>
    <w:rsid w:val="00233839"/>
    <w:rsid w:val="002347EF"/>
    <w:rsid w:val="00235AF2"/>
    <w:rsid w:val="00242169"/>
    <w:rsid w:val="002437CE"/>
    <w:rsid w:val="0024537E"/>
    <w:rsid w:val="00250AA6"/>
    <w:rsid w:val="00250F29"/>
    <w:rsid w:val="00251E9B"/>
    <w:rsid w:val="002533EA"/>
    <w:rsid w:val="002544D1"/>
    <w:rsid w:val="002609E3"/>
    <w:rsid w:val="00260FA6"/>
    <w:rsid w:val="002615E8"/>
    <w:rsid w:val="00261FCA"/>
    <w:rsid w:val="00262C91"/>
    <w:rsid w:val="00266685"/>
    <w:rsid w:val="002666A6"/>
    <w:rsid w:val="002705E2"/>
    <w:rsid w:val="00270670"/>
    <w:rsid w:val="002720A3"/>
    <w:rsid w:val="00274142"/>
    <w:rsid w:val="002743D7"/>
    <w:rsid w:val="00274880"/>
    <w:rsid w:val="00274D49"/>
    <w:rsid w:val="00277DB1"/>
    <w:rsid w:val="002815AE"/>
    <w:rsid w:val="002821D1"/>
    <w:rsid w:val="002832E5"/>
    <w:rsid w:val="00284DB9"/>
    <w:rsid w:val="00290356"/>
    <w:rsid w:val="002918A4"/>
    <w:rsid w:val="00292DE2"/>
    <w:rsid w:val="0029568F"/>
    <w:rsid w:val="00296E85"/>
    <w:rsid w:val="002A07F9"/>
    <w:rsid w:val="002A15FE"/>
    <w:rsid w:val="002A1E9D"/>
    <w:rsid w:val="002A41AD"/>
    <w:rsid w:val="002A71CA"/>
    <w:rsid w:val="002B140B"/>
    <w:rsid w:val="002B321E"/>
    <w:rsid w:val="002B5F5F"/>
    <w:rsid w:val="002B6CDC"/>
    <w:rsid w:val="002B795C"/>
    <w:rsid w:val="002C1634"/>
    <w:rsid w:val="002C22AE"/>
    <w:rsid w:val="002C275C"/>
    <w:rsid w:val="002C4127"/>
    <w:rsid w:val="002C5583"/>
    <w:rsid w:val="002D45C3"/>
    <w:rsid w:val="002D5A07"/>
    <w:rsid w:val="002D6F76"/>
    <w:rsid w:val="002D77B6"/>
    <w:rsid w:val="002E11DF"/>
    <w:rsid w:val="002E2D82"/>
    <w:rsid w:val="002E49C7"/>
    <w:rsid w:val="002E793F"/>
    <w:rsid w:val="002F3A68"/>
    <w:rsid w:val="00301E27"/>
    <w:rsid w:val="0030221E"/>
    <w:rsid w:val="00302EB2"/>
    <w:rsid w:val="00311621"/>
    <w:rsid w:val="00311CCC"/>
    <w:rsid w:val="00313A14"/>
    <w:rsid w:val="00313D5E"/>
    <w:rsid w:val="00314396"/>
    <w:rsid w:val="0031618C"/>
    <w:rsid w:val="003165DE"/>
    <w:rsid w:val="00323949"/>
    <w:rsid w:val="003248BD"/>
    <w:rsid w:val="00324918"/>
    <w:rsid w:val="0032647E"/>
    <w:rsid w:val="00326D94"/>
    <w:rsid w:val="00327EAA"/>
    <w:rsid w:val="00331C8B"/>
    <w:rsid w:val="00331E23"/>
    <w:rsid w:val="00332561"/>
    <w:rsid w:val="003342DC"/>
    <w:rsid w:val="0033502C"/>
    <w:rsid w:val="003412A4"/>
    <w:rsid w:val="00341338"/>
    <w:rsid w:val="0034439E"/>
    <w:rsid w:val="0035078D"/>
    <w:rsid w:val="00353223"/>
    <w:rsid w:val="00356329"/>
    <w:rsid w:val="00357679"/>
    <w:rsid w:val="00362B17"/>
    <w:rsid w:val="00364913"/>
    <w:rsid w:val="0036607B"/>
    <w:rsid w:val="00367C34"/>
    <w:rsid w:val="00371535"/>
    <w:rsid w:val="00372674"/>
    <w:rsid w:val="0037304E"/>
    <w:rsid w:val="003733E1"/>
    <w:rsid w:val="0037357C"/>
    <w:rsid w:val="00373C53"/>
    <w:rsid w:val="00380101"/>
    <w:rsid w:val="00381A62"/>
    <w:rsid w:val="00383281"/>
    <w:rsid w:val="00386B64"/>
    <w:rsid w:val="00391DAC"/>
    <w:rsid w:val="0039400F"/>
    <w:rsid w:val="00394924"/>
    <w:rsid w:val="00395B3C"/>
    <w:rsid w:val="00397EA6"/>
    <w:rsid w:val="003A0AE7"/>
    <w:rsid w:val="003A0BC5"/>
    <w:rsid w:val="003A1B75"/>
    <w:rsid w:val="003A3B5A"/>
    <w:rsid w:val="003A44A3"/>
    <w:rsid w:val="003B0E72"/>
    <w:rsid w:val="003B160D"/>
    <w:rsid w:val="003B339D"/>
    <w:rsid w:val="003B373A"/>
    <w:rsid w:val="003B425B"/>
    <w:rsid w:val="003B4A50"/>
    <w:rsid w:val="003B507F"/>
    <w:rsid w:val="003B5619"/>
    <w:rsid w:val="003B643A"/>
    <w:rsid w:val="003C24A0"/>
    <w:rsid w:val="003C2652"/>
    <w:rsid w:val="003C3D2F"/>
    <w:rsid w:val="003D20AE"/>
    <w:rsid w:val="003D3751"/>
    <w:rsid w:val="003D4D38"/>
    <w:rsid w:val="003D51D2"/>
    <w:rsid w:val="003D777E"/>
    <w:rsid w:val="003E0527"/>
    <w:rsid w:val="003E0A16"/>
    <w:rsid w:val="003E374A"/>
    <w:rsid w:val="003E4F4E"/>
    <w:rsid w:val="003E52DE"/>
    <w:rsid w:val="003E728B"/>
    <w:rsid w:val="003F191C"/>
    <w:rsid w:val="003F1E48"/>
    <w:rsid w:val="003F2439"/>
    <w:rsid w:val="003F2726"/>
    <w:rsid w:val="003F3A75"/>
    <w:rsid w:val="003F3BC1"/>
    <w:rsid w:val="004061E5"/>
    <w:rsid w:val="00407761"/>
    <w:rsid w:val="00410CCB"/>
    <w:rsid w:val="00413048"/>
    <w:rsid w:val="00414699"/>
    <w:rsid w:val="00415AEA"/>
    <w:rsid w:val="0042034E"/>
    <w:rsid w:val="00421432"/>
    <w:rsid w:val="00422B82"/>
    <w:rsid w:val="00427EEB"/>
    <w:rsid w:val="00436064"/>
    <w:rsid w:val="004376A4"/>
    <w:rsid w:val="004423D5"/>
    <w:rsid w:val="00442669"/>
    <w:rsid w:val="00444683"/>
    <w:rsid w:val="00450B2B"/>
    <w:rsid w:val="004547C2"/>
    <w:rsid w:val="0045493A"/>
    <w:rsid w:val="004601ED"/>
    <w:rsid w:val="004610CC"/>
    <w:rsid w:val="0046244D"/>
    <w:rsid w:val="00462B6F"/>
    <w:rsid w:val="00462D9D"/>
    <w:rsid w:val="004667AB"/>
    <w:rsid w:val="00470381"/>
    <w:rsid w:val="00476241"/>
    <w:rsid w:val="004768CE"/>
    <w:rsid w:val="00481BDB"/>
    <w:rsid w:val="004834CC"/>
    <w:rsid w:val="00484292"/>
    <w:rsid w:val="004939B5"/>
    <w:rsid w:val="0049434E"/>
    <w:rsid w:val="004954E4"/>
    <w:rsid w:val="004958A5"/>
    <w:rsid w:val="004963F5"/>
    <w:rsid w:val="00497983"/>
    <w:rsid w:val="004A00E1"/>
    <w:rsid w:val="004A3080"/>
    <w:rsid w:val="004A4662"/>
    <w:rsid w:val="004A5723"/>
    <w:rsid w:val="004A7EBF"/>
    <w:rsid w:val="004B1929"/>
    <w:rsid w:val="004B2087"/>
    <w:rsid w:val="004B3B73"/>
    <w:rsid w:val="004B4860"/>
    <w:rsid w:val="004C1752"/>
    <w:rsid w:val="004D2696"/>
    <w:rsid w:val="004D2749"/>
    <w:rsid w:val="004D34CB"/>
    <w:rsid w:val="004D534E"/>
    <w:rsid w:val="004D763E"/>
    <w:rsid w:val="004E3ED9"/>
    <w:rsid w:val="004E4B52"/>
    <w:rsid w:val="004E5C8A"/>
    <w:rsid w:val="004E7727"/>
    <w:rsid w:val="004F02A3"/>
    <w:rsid w:val="004F1672"/>
    <w:rsid w:val="004F410B"/>
    <w:rsid w:val="004F4E8F"/>
    <w:rsid w:val="004F6D9F"/>
    <w:rsid w:val="00501AD2"/>
    <w:rsid w:val="00501F20"/>
    <w:rsid w:val="00506CB7"/>
    <w:rsid w:val="0051199B"/>
    <w:rsid w:val="00515348"/>
    <w:rsid w:val="005203F0"/>
    <w:rsid w:val="005205F6"/>
    <w:rsid w:val="00521CD7"/>
    <w:rsid w:val="005223B0"/>
    <w:rsid w:val="00522C48"/>
    <w:rsid w:val="00524B92"/>
    <w:rsid w:val="00525F7E"/>
    <w:rsid w:val="00527744"/>
    <w:rsid w:val="005312C1"/>
    <w:rsid w:val="00531CAD"/>
    <w:rsid w:val="0053491B"/>
    <w:rsid w:val="00534937"/>
    <w:rsid w:val="005360A2"/>
    <w:rsid w:val="00537CEB"/>
    <w:rsid w:val="005415CD"/>
    <w:rsid w:val="00543583"/>
    <w:rsid w:val="00552127"/>
    <w:rsid w:val="00566F9E"/>
    <w:rsid w:val="0057489A"/>
    <w:rsid w:val="005756B8"/>
    <w:rsid w:val="005761C3"/>
    <w:rsid w:val="00586B1B"/>
    <w:rsid w:val="00590170"/>
    <w:rsid w:val="0059281D"/>
    <w:rsid w:val="00594889"/>
    <w:rsid w:val="005A1FFB"/>
    <w:rsid w:val="005A27A1"/>
    <w:rsid w:val="005A2F7E"/>
    <w:rsid w:val="005A3B85"/>
    <w:rsid w:val="005A542B"/>
    <w:rsid w:val="005A79FF"/>
    <w:rsid w:val="005B3CFA"/>
    <w:rsid w:val="005B6A3B"/>
    <w:rsid w:val="005B70EA"/>
    <w:rsid w:val="005B7F90"/>
    <w:rsid w:val="005C193A"/>
    <w:rsid w:val="005C50BD"/>
    <w:rsid w:val="005C55FF"/>
    <w:rsid w:val="005C58CB"/>
    <w:rsid w:val="005C6E3A"/>
    <w:rsid w:val="005D1794"/>
    <w:rsid w:val="005D1B18"/>
    <w:rsid w:val="005D297D"/>
    <w:rsid w:val="005D5FE8"/>
    <w:rsid w:val="005D79A4"/>
    <w:rsid w:val="005E1C2A"/>
    <w:rsid w:val="005E21F4"/>
    <w:rsid w:val="005E431B"/>
    <w:rsid w:val="005E5D16"/>
    <w:rsid w:val="005E6ABA"/>
    <w:rsid w:val="005E7F7E"/>
    <w:rsid w:val="005F0F9C"/>
    <w:rsid w:val="005F2751"/>
    <w:rsid w:val="005F4ECF"/>
    <w:rsid w:val="005F61DC"/>
    <w:rsid w:val="005F6A09"/>
    <w:rsid w:val="00602C08"/>
    <w:rsid w:val="0060310B"/>
    <w:rsid w:val="00606C6C"/>
    <w:rsid w:val="00607113"/>
    <w:rsid w:val="00610BF8"/>
    <w:rsid w:val="00613CC8"/>
    <w:rsid w:val="0061400B"/>
    <w:rsid w:val="00614B7C"/>
    <w:rsid w:val="00616473"/>
    <w:rsid w:val="006164F9"/>
    <w:rsid w:val="00620E5A"/>
    <w:rsid w:val="00620F44"/>
    <w:rsid w:val="006372B1"/>
    <w:rsid w:val="00640201"/>
    <w:rsid w:val="00640551"/>
    <w:rsid w:val="00640769"/>
    <w:rsid w:val="00645CFC"/>
    <w:rsid w:val="00646F1C"/>
    <w:rsid w:val="00651805"/>
    <w:rsid w:val="00654B88"/>
    <w:rsid w:val="00656198"/>
    <w:rsid w:val="006561A8"/>
    <w:rsid w:val="00657553"/>
    <w:rsid w:val="00660D29"/>
    <w:rsid w:val="006629FD"/>
    <w:rsid w:val="00662C12"/>
    <w:rsid w:val="00663942"/>
    <w:rsid w:val="0066714B"/>
    <w:rsid w:val="006671C9"/>
    <w:rsid w:val="006671D3"/>
    <w:rsid w:val="00670427"/>
    <w:rsid w:val="0067187C"/>
    <w:rsid w:val="00672A7B"/>
    <w:rsid w:val="00674CCE"/>
    <w:rsid w:val="00674F98"/>
    <w:rsid w:val="00681A83"/>
    <w:rsid w:val="0068287C"/>
    <w:rsid w:val="006874E2"/>
    <w:rsid w:val="006921B3"/>
    <w:rsid w:val="006929B5"/>
    <w:rsid w:val="0069613B"/>
    <w:rsid w:val="006A0D7B"/>
    <w:rsid w:val="006A2F0E"/>
    <w:rsid w:val="006A7AD7"/>
    <w:rsid w:val="006B0651"/>
    <w:rsid w:val="006B0A0E"/>
    <w:rsid w:val="006B3C68"/>
    <w:rsid w:val="006B4733"/>
    <w:rsid w:val="006B4ACE"/>
    <w:rsid w:val="006C2A72"/>
    <w:rsid w:val="006C59A1"/>
    <w:rsid w:val="006C6CF0"/>
    <w:rsid w:val="006D0614"/>
    <w:rsid w:val="006D0EAC"/>
    <w:rsid w:val="006D241C"/>
    <w:rsid w:val="006D29E4"/>
    <w:rsid w:val="006D3901"/>
    <w:rsid w:val="006D4195"/>
    <w:rsid w:val="006D7332"/>
    <w:rsid w:val="006E0732"/>
    <w:rsid w:val="006E5F2A"/>
    <w:rsid w:val="006E638C"/>
    <w:rsid w:val="006E7193"/>
    <w:rsid w:val="006E7E1B"/>
    <w:rsid w:val="006F0DF5"/>
    <w:rsid w:val="006F1F9A"/>
    <w:rsid w:val="006F4692"/>
    <w:rsid w:val="006F5D15"/>
    <w:rsid w:val="006F6F02"/>
    <w:rsid w:val="006F78C2"/>
    <w:rsid w:val="006F7C14"/>
    <w:rsid w:val="006F7CA6"/>
    <w:rsid w:val="00701CCE"/>
    <w:rsid w:val="00701F86"/>
    <w:rsid w:val="0070702E"/>
    <w:rsid w:val="00712C19"/>
    <w:rsid w:val="00714D00"/>
    <w:rsid w:val="00714D87"/>
    <w:rsid w:val="007170F8"/>
    <w:rsid w:val="00722006"/>
    <w:rsid w:val="00725D24"/>
    <w:rsid w:val="007260AD"/>
    <w:rsid w:val="00730394"/>
    <w:rsid w:val="00732DA2"/>
    <w:rsid w:val="00732DDA"/>
    <w:rsid w:val="00733E85"/>
    <w:rsid w:val="0073485D"/>
    <w:rsid w:val="007404C9"/>
    <w:rsid w:val="00741BAD"/>
    <w:rsid w:val="007432ED"/>
    <w:rsid w:val="0074479C"/>
    <w:rsid w:val="00744D98"/>
    <w:rsid w:val="00745D00"/>
    <w:rsid w:val="007510FD"/>
    <w:rsid w:val="00753F44"/>
    <w:rsid w:val="00754E42"/>
    <w:rsid w:val="0075522D"/>
    <w:rsid w:val="00756C94"/>
    <w:rsid w:val="007571D0"/>
    <w:rsid w:val="00763635"/>
    <w:rsid w:val="00763EF1"/>
    <w:rsid w:val="00764F1E"/>
    <w:rsid w:val="0076580C"/>
    <w:rsid w:val="0077292D"/>
    <w:rsid w:val="00774DCA"/>
    <w:rsid w:val="007764D8"/>
    <w:rsid w:val="00782493"/>
    <w:rsid w:val="007845E3"/>
    <w:rsid w:val="0078489B"/>
    <w:rsid w:val="00785DFD"/>
    <w:rsid w:val="00787AD2"/>
    <w:rsid w:val="00792631"/>
    <w:rsid w:val="0079276C"/>
    <w:rsid w:val="00793B7E"/>
    <w:rsid w:val="007A0BD8"/>
    <w:rsid w:val="007A16A3"/>
    <w:rsid w:val="007A3515"/>
    <w:rsid w:val="007A36B1"/>
    <w:rsid w:val="007A4A06"/>
    <w:rsid w:val="007A69ED"/>
    <w:rsid w:val="007B3AD4"/>
    <w:rsid w:val="007B5CC5"/>
    <w:rsid w:val="007B6B06"/>
    <w:rsid w:val="007B7EC1"/>
    <w:rsid w:val="007C2D20"/>
    <w:rsid w:val="007C3995"/>
    <w:rsid w:val="007D0E13"/>
    <w:rsid w:val="007D2B8C"/>
    <w:rsid w:val="007D2D0C"/>
    <w:rsid w:val="007D5074"/>
    <w:rsid w:val="007E3232"/>
    <w:rsid w:val="007E5CD1"/>
    <w:rsid w:val="007E6513"/>
    <w:rsid w:val="007E72D4"/>
    <w:rsid w:val="007F1430"/>
    <w:rsid w:val="007F1FA9"/>
    <w:rsid w:val="007F4289"/>
    <w:rsid w:val="00801E23"/>
    <w:rsid w:val="00802F23"/>
    <w:rsid w:val="008038D8"/>
    <w:rsid w:val="00803B15"/>
    <w:rsid w:val="008140D4"/>
    <w:rsid w:val="00814757"/>
    <w:rsid w:val="00816712"/>
    <w:rsid w:val="00820FE9"/>
    <w:rsid w:val="008215CB"/>
    <w:rsid w:val="008254CB"/>
    <w:rsid w:val="00830DF0"/>
    <w:rsid w:val="008336AE"/>
    <w:rsid w:val="00835A12"/>
    <w:rsid w:val="008402BF"/>
    <w:rsid w:val="00840AD8"/>
    <w:rsid w:val="008424B0"/>
    <w:rsid w:val="00843001"/>
    <w:rsid w:val="008430E9"/>
    <w:rsid w:val="008444CC"/>
    <w:rsid w:val="0084479A"/>
    <w:rsid w:val="0084498B"/>
    <w:rsid w:val="00845E64"/>
    <w:rsid w:val="0084696E"/>
    <w:rsid w:val="00847393"/>
    <w:rsid w:val="0085124F"/>
    <w:rsid w:val="00852E38"/>
    <w:rsid w:val="00853F8E"/>
    <w:rsid w:val="008544D7"/>
    <w:rsid w:val="008550B3"/>
    <w:rsid w:val="00855B25"/>
    <w:rsid w:val="00856623"/>
    <w:rsid w:val="00857412"/>
    <w:rsid w:val="00857485"/>
    <w:rsid w:val="00862185"/>
    <w:rsid w:val="00863621"/>
    <w:rsid w:val="00864519"/>
    <w:rsid w:val="00865024"/>
    <w:rsid w:val="00865D68"/>
    <w:rsid w:val="0087175D"/>
    <w:rsid w:val="00872F00"/>
    <w:rsid w:val="00875AF6"/>
    <w:rsid w:val="00876661"/>
    <w:rsid w:val="00880330"/>
    <w:rsid w:val="00880569"/>
    <w:rsid w:val="00880638"/>
    <w:rsid w:val="00880D8D"/>
    <w:rsid w:val="00881A8A"/>
    <w:rsid w:val="00881F05"/>
    <w:rsid w:val="00886861"/>
    <w:rsid w:val="00887C05"/>
    <w:rsid w:val="008932D7"/>
    <w:rsid w:val="00894009"/>
    <w:rsid w:val="00894C9F"/>
    <w:rsid w:val="00894E4D"/>
    <w:rsid w:val="008A0E4D"/>
    <w:rsid w:val="008A0F1C"/>
    <w:rsid w:val="008A59D9"/>
    <w:rsid w:val="008A5F71"/>
    <w:rsid w:val="008A64B5"/>
    <w:rsid w:val="008B0CB8"/>
    <w:rsid w:val="008B1E31"/>
    <w:rsid w:val="008B45B0"/>
    <w:rsid w:val="008B5644"/>
    <w:rsid w:val="008B61C6"/>
    <w:rsid w:val="008B6B96"/>
    <w:rsid w:val="008B7E0C"/>
    <w:rsid w:val="008C04E4"/>
    <w:rsid w:val="008C24E8"/>
    <w:rsid w:val="008C7F77"/>
    <w:rsid w:val="008D10B5"/>
    <w:rsid w:val="008D645F"/>
    <w:rsid w:val="008D6EF2"/>
    <w:rsid w:val="008E03E6"/>
    <w:rsid w:val="008E148D"/>
    <w:rsid w:val="008E6B1C"/>
    <w:rsid w:val="008E7169"/>
    <w:rsid w:val="008F0C19"/>
    <w:rsid w:val="008F4C4A"/>
    <w:rsid w:val="008F61B0"/>
    <w:rsid w:val="008F6D0B"/>
    <w:rsid w:val="00901437"/>
    <w:rsid w:val="0090269C"/>
    <w:rsid w:val="00902869"/>
    <w:rsid w:val="00905CAC"/>
    <w:rsid w:val="00905E2B"/>
    <w:rsid w:val="009103CB"/>
    <w:rsid w:val="009104D7"/>
    <w:rsid w:val="009112F9"/>
    <w:rsid w:val="00912FBE"/>
    <w:rsid w:val="00913AED"/>
    <w:rsid w:val="0092290B"/>
    <w:rsid w:val="00924F60"/>
    <w:rsid w:val="00926D60"/>
    <w:rsid w:val="009341A8"/>
    <w:rsid w:val="00937A13"/>
    <w:rsid w:val="0094143E"/>
    <w:rsid w:val="009476CF"/>
    <w:rsid w:val="00947CF8"/>
    <w:rsid w:val="00950A09"/>
    <w:rsid w:val="009544E4"/>
    <w:rsid w:val="0096321A"/>
    <w:rsid w:val="00963EA2"/>
    <w:rsid w:val="0097007E"/>
    <w:rsid w:val="009737FE"/>
    <w:rsid w:val="00974214"/>
    <w:rsid w:val="00974A05"/>
    <w:rsid w:val="00974E78"/>
    <w:rsid w:val="009752B4"/>
    <w:rsid w:val="00982AFD"/>
    <w:rsid w:val="0098418A"/>
    <w:rsid w:val="009850D9"/>
    <w:rsid w:val="0098572A"/>
    <w:rsid w:val="0098685F"/>
    <w:rsid w:val="00987D05"/>
    <w:rsid w:val="00990ABB"/>
    <w:rsid w:val="00990FD6"/>
    <w:rsid w:val="00993D9A"/>
    <w:rsid w:val="00994E9B"/>
    <w:rsid w:val="00996331"/>
    <w:rsid w:val="0099739E"/>
    <w:rsid w:val="009A39F8"/>
    <w:rsid w:val="009A5A31"/>
    <w:rsid w:val="009A6806"/>
    <w:rsid w:val="009B2E67"/>
    <w:rsid w:val="009B36CE"/>
    <w:rsid w:val="009B3D36"/>
    <w:rsid w:val="009B514A"/>
    <w:rsid w:val="009B60E5"/>
    <w:rsid w:val="009C05EE"/>
    <w:rsid w:val="009C46EE"/>
    <w:rsid w:val="009C5968"/>
    <w:rsid w:val="009C75B2"/>
    <w:rsid w:val="009D06B6"/>
    <w:rsid w:val="009D1AE1"/>
    <w:rsid w:val="009D2CD6"/>
    <w:rsid w:val="009D542E"/>
    <w:rsid w:val="009D727C"/>
    <w:rsid w:val="009E2995"/>
    <w:rsid w:val="009E324B"/>
    <w:rsid w:val="009E36BC"/>
    <w:rsid w:val="009E4C1F"/>
    <w:rsid w:val="009E6273"/>
    <w:rsid w:val="009E655C"/>
    <w:rsid w:val="009F357D"/>
    <w:rsid w:val="009F37D8"/>
    <w:rsid w:val="00A01EC1"/>
    <w:rsid w:val="00A01FA4"/>
    <w:rsid w:val="00A03B07"/>
    <w:rsid w:val="00A06E02"/>
    <w:rsid w:val="00A07437"/>
    <w:rsid w:val="00A07CFA"/>
    <w:rsid w:val="00A11900"/>
    <w:rsid w:val="00A1205C"/>
    <w:rsid w:val="00A17690"/>
    <w:rsid w:val="00A1792C"/>
    <w:rsid w:val="00A220FA"/>
    <w:rsid w:val="00A2350B"/>
    <w:rsid w:val="00A23DA5"/>
    <w:rsid w:val="00A24117"/>
    <w:rsid w:val="00A259CA"/>
    <w:rsid w:val="00A27778"/>
    <w:rsid w:val="00A279C2"/>
    <w:rsid w:val="00A30119"/>
    <w:rsid w:val="00A30A8B"/>
    <w:rsid w:val="00A40689"/>
    <w:rsid w:val="00A425C1"/>
    <w:rsid w:val="00A45888"/>
    <w:rsid w:val="00A46207"/>
    <w:rsid w:val="00A47DB1"/>
    <w:rsid w:val="00A506FE"/>
    <w:rsid w:val="00A51AC6"/>
    <w:rsid w:val="00A5323E"/>
    <w:rsid w:val="00A55093"/>
    <w:rsid w:val="00A552FF"/>
    <w:rsid w:val="00A56C4D"/>
    <w:rsid w:val="00A57A9D"/>
    <w:rsid w:val="00A60A0C"/>
    <w:rsid w:val="00A62A61"/>
    <w:rsid w:val="00A62A83"/>
    <w:rsid w:val="00A63A53"/>
    <w:rsid w:val="00A64FCC"/>
    <w:rsid w:val="00A65B00"/>
    <w:rsid w:val="00A673F7"/>
    <w:rsid w:val="00A6752F"/>
    <w:rsid w:val="00A72D4C"/>
    <w:rsid w:val="00A732B8"/>
    <w:rsid w:val="00A7338D"/>
    <w:rsid w:val="00A73ACB"/>
    <w:rsid w:val="00A74522"/>
    <w:rsid w:val="00A75BD7"/>
    <w:rsid w:val="00A75EDC"/>
    <w:rsid w:val="00A83AEC"/>
    <w:rsid w:val="00A84011"/>
    <w:rsid w:val="00A84493"/>
    <w:rsid w:val="00A85BB4"/>
    <w:rsid w:val="00A91939"/>
    <w:rsid w:val="00A93703"/>
    <w:rsid w:val="00A97E8C"/>
    <w:rsid w:val="00AA1682"/>
    <w:rsid w:val="00AA3D50"/>
    <w:rsid w:val="00AA3FF2"/>
    <w:rsid w:val="00AA452F"/>
    <w:rsid w:val="00AA6F10"/>
    <w:rsid w:val="00AB09FA"/>
    <w:rsid w:val="00AB175D"/>
    <w:rsid w:val="00AB5FD2"/>
    <w:rsid w:val="00AB7480"/>
    <w:rsid w:val="00AB7B29"/>
    <w:rsid w:val="00AC324E"/>
    <w:rsid w:val="00AC3428"/>
    <w:rsid w:val="00AD279E"/>
    <w:rsid w:val="00AD329D"/>
    <w:rsid w:val="00AD32CD"/>
    <w:rsid w:val="00AD49DE"/>
    <w:rsid w:val="00AD65AC"/>
    <w:rsid w:val="00AD6F46"/>
    <w:rsid w:val="00AD75DB"/>
    <w:rsid w:val="00AE0553"/>
    <w:rsid w:val="00AE123B"/>
    <w:rsid w:val="00AE6CED"/>
    <w:rsid w:val="00AF08AD"/>
    <w:rsid w:val="00AF25B5"/>
    <w:rsid w:val="00AF280C"/>
    <w:rsid w:val="00AF3AD9"/>
    <w:rsid w:val="00AF4100"/>
    <w:rsid w:val="00AF4BE3"/>
    <w:rsid w:val="00AF5435"/>
    <w:rsid w:val="00AF6E73"/>
    <w:rsid w:val="00B02A96"/>
    <w:rsid w:val="00B05597"/>
    <w:rsid w:val="00B05FB9"/>
    <w:rsid w:val="00B06960"/>
    <w:rsid w:val="00B07DEE"/>
    <w:rsid w:val="00B10063"/>
    <w:rsid w:val="00B1142E"/>
    <w:rsid w:val="00B12B60"/>
    <w:rsid w:val="00B13462"/>
    <w:rsid w:val="00B1384D"/>
    <w:rsid w:val="00B13CFB"/>
    <w:rsid w:val="00B15701"/>
    <w:rsid w:val="00B2196C"/>
    <w:rsid w:val="00B24FD1"/>
    <w:rsid w:val="00B256FA"/>
    <w:rsid w:val="00B31B0D"/>
    <w:rsid w:val="00B32750"/>
    <w:rsid w:val="00B32832"/>
    <w:rsid w:val="00B32DEC"/>
    <w:rsid w:val="00B335D2"/>
    <w:rsid w:val="00B33FAF"/>
    <w:rsid w:val="00B363D8"/>
    <w:rsid w:val="00B37561"/>
    <w:rsid w:val="00B40A12"/>
    <w:rsid w:val="00B42AAC"/>
    <w:rsid w:val="00B432ED"/>
    <w:rsid w:val="00B439C1"/>
    <w:rsid w:val="00B45B01"/>
    <w:rsid w:val="00B46100"/>
    <w:rsid w:val="00B50A74"/>
    <w:rsid w:val="00B528D6"/>
    <w:rsid w:val="00B53599"/>
    <w:rsid w:val="00B5439B"/>
    <w:rsid w:val="00B56080"/>
    <w:rsid w:val="00B570BA"/>
    <w:rsid w:val="00B645AC"/>
    <w:rsid w:val="00B6468F"/>
    <w:rsid w:val="00B66D6C"/>
    <w:rsid w:val="00B67EED"/>
    <w:rsid w:val="00B7109A"/>
    <w:rsid w:val="00B71832"/>
    <w:rsid w:val="00B72980"/>
    <w:rsid w:val="00B73933"/>
    <w:rsid w:val="00B8086F"/>
    <w:rsid w:val="00B83200"/>
    <w:rsid w:val="00B83FEE"/>
    <w:rsid w:val="00B84AF4"/>
    <w:rsid w:val="00B856B2"/>
    <w:rsid w:val="00B85822"/>
    <w:rsid w:val="00B915B7"/>
    <w:rsid w:val="00B91AEF"/>
    <w:rsid w:val="00B92D97"/>
    <w:rsid w:val="00B93D5D"/>
    <w:rsid w:val="00B9466C"/>
    <w:rsid w:val="00B96A3D"/>
    <w:rsid w:val="00B96D23"/>
    <w:rsid w:val="00B97245"/>
    <w:rsid w:val="00BA34DE"/>
    <w:rsid w:val="00BA35EA"/>
    <w:rsid w:val="00BA3DCF"/>
    <w:rsid w:val="00BA40F7"/>
    <w:rsid w:val="00BA4455"/>
    <w:rsid w:val="00BA54DD"/>
    <w:rsid w:val="00BA7782"/>
    <w:rsid w:val="00BB1832"/>
    <w:rsid w:val="00BB2A0D"/>
    <w:rsid w:val="00BB30B6"/>
    <w:rsid w:val="00BB387D"/>
    <w:rsid w:val="00BB5F7A"/>
    <w:rsid w:val="00BC54FB"/>
    <w:rsid w:val="00BC692D"/>
    <w:rsid w:val="00BD078D"/>
    <w:rsid w:val="00BD39F9"/>
    <w:rsid w:val="00BD462D"/>
    <w:rsid w:val="00BD6B92"/>
    <w:rsid w:val="00BE267F"/>
    <w:rsid w:val="00BE3183"/>
    <w:rsid w:val="00BE3EC0"/>
    <w:rsid w:val="00BE503B"/>
    <w:rsid w:val="00BE5120"/>
    <w:rsid w:val="00BE69F6"/>
    <w:rsid w:val="00BF0919"/>
    <w:rsid w:val="00BF1483"/>
    <w:rsid w:val="00BF1B96"/>
    <w:rsid w:val="00BF5412"/>
    <w:rsid w:val="00BF590C"/>
    <w:rsid w:val="00BF5C41"/>
    <w:rsid w:val="00BF6C61"/>
    <w:rsid w:val="00C06798"/>
    <w:rsid w:val="00C07402"/>
    <w:rsid w:val="00C076F2"/>
    <w:rsid w:val="00C123DB"/>
    <w:rsid w:val="00C14AC9"/>
    <w:rsid w:val="00C1509A"/>
    <w:rsid w:val="00C150D0"/>
    <w:rsid w:val="00C15EB7"/>
    <w:rsid w:val="00C17520"/>
    <w:rsid w:val="00C17607"/>
    <w:rsid w:val="00C17C44"/>
    <w:rsid w:val="00C204B8"/>
    <w:rsid w:val="00C21A2A"/>
    <w:rsid w:val="00C224DA"/>
    <w:rsid w:val="00C2371B"/>
    <w:rsid w:val="00C240BB"/>
    <w:rsid w:val="00C265BB"/>
    <w:rsid w:val="00C33FE2"/>
    <w:rsid w:val="00C3683D"/>
    <w:rsid w:val="00C36A7D"/>
    <w:rsid w:val="00C37609"/>
    <w:rsid w:val="00C41DA0"/>
    <w:rsid w:val="00C45333"/>
    <w:rsid w:val="00C52E2E"/>
    <w:rsid w:val="00C530D0"/>
    <w:rsid w:val="00C547DE"/>
    <w:rsid w:val="00C55006"/>
    <w:rsid w:val="00C604B4"/>
    <w:rsid w:val="00C628E3"/>
    <w:rsid w:val="00C648DA"/>
    <w:rsid w:val="00C669C7"/>
    <w:rsid w:val="00C6777A"/>
    <w:rsid w:val="00C72BB6"/>
    <w:rsid w:val="00C768FB"/>
    <w:rsid w:val="00C77673"/>
    <w:rsid w:val="00C83A7D"/>
    <w:rsid w:val="00C8782E"/>
    <w:rsid w:val="00C9526F"/>
    <w:rsid w:val="00C95579"/>
    <w:rsid w:val="00C97F4B"/>
    <w:rsid w:val="00CA10AD"/>
    <w:rsid w:val="00CA1E06"/>
    <w:rsid w:val="00CA2156"/>
    <w:rsid w:val="00CA2A06"/>
    <w:rsid w:val="00CA2EBA"/>
    <w:rsid w:val="00CA4A1F"/>
    <w:rsid w:val="00CA4E01"/>
    <w:rsid w:val="00CA58AB"/>
    <w:rsid w:val="00CA65A4"/>
    <w:rsid w:val="00CA6960"/>
    <w:rsid w:val="00CB0528"/>
    <w:rsid w:val="00CB06EC"/>
    <w:rsid w:val="00CB1480"/>
    <w:rsid w:val="00CB1808"/>
    <w:rsid w:val="00CB46E5"/>
    <w:rsid w:val="00CB4867"/>
    <w:rsid w:val="00CC2132"/>
    <w:rsid w:val="00CC21F2"/>
    <w:rsid w:val="00CC2F44"/>
    <w:rsid w:val="00CC34BA"/>
    <w:rsid w:val="00CC36E9"/>
    <w:rsid w:val="00CC4781"/>
    <w:rsid w:val="00CC6E02"/>
    <w:rsid w:val="00CC7295"/>
    <w:rsid w:val="00CD05E0"/>
    <w:rsid w:val="00CD37B1"/>
    <w:rsid w:val="00CD4D2F"/>
    <w:rsid w:val="00CD67AA"/>
    <w:rsid w:val="00CD6AF7"/>
    <w:rsid w:val="00CE0F7E"/>
    <w:rsid w:val="00CE180A"/>
    <w:rsid w:val="00CE1ECE"/>
    <w:rsid w:val="00CE29DA"/>
    <w:rsid w:val="00CE4C4F"/>
    <w:rsid w:val="00CE4CF1"/>
    <w:rsid w:val="00CE5EF1"/>
    <w:rsid w:val="00CE6CE5"/>
    <w:rsid w:val="00CF2C94"/>
    <w:rsid w:val="00CF46E9"/>
    <w:rsid w:val="00CF4B6D"/>
    <w:rsid w:val="00CF67A9"/>
    <w:rsid w:val="00CF7598"/>
    <w:rsid w:val="00CF79ED"/>
    <w:rsid w:val="00D03D1E"/>
    <w:rsid w:val="00D060D7"/>
    <w:rsid w:val="00D12380"/>
    <w:rsid w:val="00D13049"/>
    <w:rsid w:val="00D132E6"/>
    <w:rsid w:val="00D13C4E"/>
    <w:rsid w:val="00D14A78"/>
    <w:rsid w:val="00D14C7B"/>
    <w:rsid w:val="00D14FB4"/>
    <w:rsid w:val="00D15097"/>
    <w:rsid w:val="00D1793E"/>
    <w:rsid w:val="00D2104C"/>
    <w:rsid w:val="00D21F0E"/>
    <w:rsid w:val="00D2381D"/>
    <w:rsid w:val="00D24038"/>
    <w:rsid w:val="00D30426"/>
    <w:rsid w:val="00D32DDB"/>
    <w:rsid w:val="00D35466"/>
    <w:rsid w:val="00D358AB"/>
    <w:rsid w:val="00D36582"/>
    <w:rsid w:val="00D376B0"/>
    <w:rsid w:val="00D40A35"/>
    <w:rsid w:val="00D41911"/>
    <w:rsid w:val="00D60889"/>
    <w:rsid w:val="00D611E2"/>
    <w:rsid w:val="00D62177"/>
    <w:rsid w:val="00D656D2"/>
    <w:rsid w:val="00D67773"/>
    <w:rsid w:val="00D70CE7"/>
    <w:rsid w:val="00D7548A"/>
    <w:rsid w:val="00D75E6F"/>
    <w:rsid w:val="00D75EC6"/>
    <w:rsid w:val="00D7681B"/>
    <w:rsid w:val="00D801D4"/>
    <w:rsid w:val="00D85804"/>
    <w:rsid w:val="00D901C4"/>
    <w:rsid w:val="00D90961"/>
    <w:rsid w:val="00D95CF6"/>
    <w:rsid w:val="00D963B6"/>
    <w:rsid w:val="00DA1509"/>
    <w:rsid w:val="00DA26D8"/>
    <w:rsid w:val="00DA52A4"/>
    <w:rsid w:val="00DA56A9"/>
    <w:rsid w:val="00DA749B"/>
    <w:rsid w:val="00DA7531"/>
    <w:rsid w:val="00DB01BC"/>
    <w:rsid w:val="00DB0E27"/>
    <w:rsid w:val="00DB323E"/>
    <w:rsid w:val="00DB6492"/>
    <w:rsid w:val="00DC2B61"/>
    <w:rsid w:val="00DD016B"/>
    <w:rsid w:val="00DD11C9"/>
    <w:rsid w:val="00DD2261"/>
    <w:rsid w:val="00DD31AA"/>
    <w:rsid w:val="00DD5EBB"/>
    <w:rsid w:val="00DD6607"/>
    <w:rsid w:val="00DD73DC"/>
    <w:rsid w:val="00DE0A62"/>
    <w:rsid w:val="00DE2650"/>
    <w:rsid w:val="00DE46A6"/>
    <w:rsid w:val="00DE51D8"/>
    <w:rsid w:val="00DE77E6"/>
    <w:rsid w:val="00DE7DEF"/>
    <w:rsid w:val="00DF0FA5"/>
    <w:rsid w:val="00DF37DF"/>
    <w:rsid w:val="00DF5D01"/>
    <w:rsid w:val="00E0069E"/>
    <w:rsid w:val="00E01610"/>
    <w:rsid w:val="00E02B40"/>
    <w:rsid w:val="00E04CCF"/>
    <w:rsid w:val="00E06CE2"/>
    <w:rsid w:val="00E07C3C"/>
    <w:rsid w:val="00E1070C"/>
    <w:rsid w:val="00E124A2"/>
    <w:rsid w:val="00E15E22"/>
    <w:rsid w:val="00E1621B"/>
    <w:rsid w:val="00E22448"/>
    <w:rsid w:val="00E24888"/>
    <w:rsid w:val="00E27071"/>
    <w:rsid w:val="00E31E71"/>
    <w:rsid w:val="00E3210D"/>
    <w:rsid w:val="00E332D3"/>
    <w:rsid w:val="00E35F7B"/>
    <w:rsid w:val="00E44D2C"/>
    <w:rsid w:val="00E46871"/>
    <w:rsid w:val="00E47E19"/>
    <w:rsid w:val="00E506D9"/>
    <w:rsid w:val="00E53F9C"/>
    <w:rsid w:val="00E56CFE"/>
    <w:rsid w:val="00E617F6"/>
    <w:rsid w:val="00E64ABD"/>
    <w:rsid w:val="00E64DBB"/>
    <w:rsid w:val="00E65810"/>
    <w:rsid w:val="00E66211"/>
    <w:rsid w:val="00E66615"/>
    <w:rsid w:val="00E713E7"/>
    <w:rsid w:val="00E72727"/>
    <w:rsid w:val="00E7305F"/>
    <w:rsid w:val="00E73715"/>
    <w:rsid w:val="00E758C7"/>
    <w:rsid w:val="00E76DEE"/>
    <w:rsid w:val="00E776FE"/>
    <w:rsid w:val="00E7788A"/>
    <w:rsid w:val="00E7799E"/>
    <w:rsid w:val="00E806FF"/>
    <w:rsid w:val="00E81185"/>
    <w:rsid w:val="00E813FF"/>
    <w:rsid w:val="00E84670"/>
    <w:rsid w:val="00E85475"/>
    <w:rsid w:val="00E871F3"/>
    <w:rsid w:val="00E87EEF"/>
    <w:rsid w:val="00E9002D"/>
    <w:rsid w:val="00E90F63"/>
    <w:rsid w:val="00E91178"/>
    <w:rsid w:val="00E91EB2"/>
    <w:rsid w:val="00E92090"/>
    <w:rsid w:val="00E94558"/>
    <w:rsid w:val="00E9627B"/>
    <w:rsid w:val="00EA1997"/>
    <w:rsid w:val="00EA3BFB"/>
    <w:rsid w:val="00EA3F1F"/>
    <w:rsid w:val="00EA50E3"/>
    <w:rsid w:val="00EA55D8"/>
    <w:rsid w:val="00EA6905"/>
    <w:rsid w:val="00EB1355"/>
    <w:rsid w:val="00EB24FB"/>
    <w:rsid w:val="00EB2966"/>
    <w:rsid w:val="00EB302F"/>
    <w:rsid w:val="00EB3469"/>
    <w:rsid w:val="00EB7821"/>
    <w:rsid w:val="00EC218A"/>
    <w:rsid w:val="00EC2499"/>
    <w:rsid w:val="00EC2DB7"/>
    <w:rsid w:val="00EC3E60"/>
    <w:rsid w:val="00EC4844"/>
    <w:rsid w:val="00EC5C2A"/>
    <w:rsid w:val="00EC66CC"/>
    <w:rsid w:val="00EC7967"/>
    <w:rsid w:val="00ED18CC"/>
    <w:rsid w:val="00ED515C"/>
    <w:rsid w:val="00ED7436"/>
    <w:rsid w:val="00EE12BD"/>
    <w:rsid w:val="00EE3A98"/>
    <w:rsid w:val="00EE3B2D"/>
    <w:rsid w:val="00EE47F9"/>
    <w:rsid w:val="00EE7AB3"/>
    <w:rsid w:val="00EE7E5C"/>
    <w:rsid w:val="00EF0C1D"/>
    <w:rsid w:val="00EF226C"/>
    <w:rsid w:val="00EF2456"/>
    <w:rsid w:val="00EF26F1"/>
    <w:rsid w:val="00EF2924"/>
    <w:rsid w:val="00EF48BF"/>
    <w:rsid w:val="00EF5E16"/>
    <w:rsid w:val="00EF6EF9"/>
    <w:rsid w:val="00EF710D"/>
    <w:rsid w:val="00EF7201"/>
    <w:rsid w:val="00F01000"/>
    <w:rsid w:val="00F0192E"/>
    <w:rsid w:val="00F050F0"/>
    <w:rsid w:val="00F05583"/>
    <w:rsid w:val="00F07A5D"/>
    <w:rsid w:val="00F11BF4"/>
    <w:rsid w:val="00F1219B"/>
    <w:rsid w:val="00F12620"/>
    <w:rsid w:val="00F177AC"/>
    <w:rsid w:val="00F21887"/>
    <w:rsid w:val="00F22E1B"/>
    <w:rsid w:val="00F232DE"/>
    <w:rsid w:val="00F25C6E"/>
    <w:rsid w:val="00F262D1"/>
    <w:rsid w:val="00F26415"/>
    <w:rsid w:val="00F2648F"/>
    <w:rsid w:val="00F27D8C"/>
    <w:rsid w:val="00F30461"/>
    <w:rsid w:val="00F308E4"/>
    <w:rsid w:val="00F30DF0"/>
    <w:rsid w:val="00F3288C"/>
    <w:rsid w:val="00F346D6"/>
    <w:rsid w:val="00F37DD4"/>
    <w:rsid w:val="00F40878"/>
    <w:rsid w:val="00F431C9"/>
    <w:rsid w:val="00F44442"/>
    <w:rsid w:val="00F52D1D"/>
    <w:rsid w:val="00F5543D"/>
    <w:rsid w:val="00F56C4E"/>
    <w:rsid w:val="00F66E70"/>
    <w:rsid w:val="00F67C2D"/>
    <w:rsid w:val="00F7009B"/>
    <w:rsid w:val="00F7013F"/>
    <w:rsid w:val="00F73E1C"/>
    <w:rsid w:val="00F7437B"/>
    <w:rsid w:val="00F75DFA"/>
    <w:rsid w:val="00F806AC"/>
    <w:rsid w:val="00F81535"/>
    <w:rsid w:val="00F816F0"/>
    <w:rsid w:val="00F828FA"/>
    <w:rsid w:val="00F83FB5"/>
    <w:rsid w:val="00F87AD3"/>
    <w:rsid w:val="00F90874"/>
    <w:rsid w:val="00F9140E"/>
    <w:rsid w:val="00F9217C"/>
    <w:rsid w:val="00F93A83"/>
    <w:rsid w:val="00F9451F"/>
    <w:rsid w:val="00F97EBC"/>
    <w:rsid w:val="00FA0414"/>
    <w:rsid w:val="00FA04A8"/>
    <w:rsid w:val="00FA2500"/>
    <w:rsid w:val="00FA43B7"/>
    <w:rsid w:val="00FA6018"/>
    <w:rsid w:val="00FA739E"/>
    <w:rsid w:val="00FB21DE"/>
    <w:rsid w:val="00FB2B6B"/>
    <w:rsid w:val="00FB3E9A"/>
    <w:rsid w:val="00FC780A"/>
    <w:rsid w:val="00FD1669"/>
    <w:rsid w:val="00FD16AA"/>
    <w:rsid w:val="00FD352A"/>
    <w:rsid w:val="00FD68F0"/>
    <w:rsid w:val="00FD7095"/>
    <w:rsid w:val="00FE06AA"/>
    <w:rsid w:val="00FE0CC2"/>
    <w:rsid w:val="00FE3500"/>
    <w:rsid w:val="00FF1A2C"/>
    <w:rsid w:val="00FF2F83"/>
    <w:rsid w:val="010B5280"/>
    <w:rsid w:val="02602792"/>
    <w:rsid w:val="02ED1C6E"/>
    <w:rsid w:val="03CB6BF1"/>
    <w:rsid w:val="04387860"/>
    <w:rsid w:val="0CB31C62"/>
    <w:rsid w:val="0E3D0C5C"/>
    <w:rsid w:val="11B01611"/>
    <w:rsid w:val="1295327C"/>
    <w:rsid w:val="13020E8B"/>
    <w:rsid w:val="14366351"/>
    <w:rsid w:val="163C5A6B"/>
    <w:rsid w:val="17EF44A5"/>
    <w:rsid w:val="182573F8"/>
    <w:rsid w:val="1A443A0A"/>
    <w:rsid w:val="1C007C41"/>
    <w:rsid w:val="1CD413FD"/>
    <w:rsid w:val="1E28125E"/>
    <w:rsid w:val="1E6B21E5"/>
    <w:rsid w:val="20D10ED4"/>
    <w:rsid w:val="22A530BF"/>
    <w:rsid w:val="2418405A"/>
    <w:rsid w:val="28786926"/>
    <w:rsid w:val="28915792"/>
    <w:rsid w:val="2CA6717F"/>
    <w:rsid w:val="2E2A7B72"/>
    <w:rsid w:val="35CE42FE"/>
    <w:rsid w:val="384E417E"/>
    <w:rsid w:val="3BBA7171"/>
    <w:rsid w:val="3D7C351B"/>
    <w:rsid w:val="3F21764F"/>
    <w:rsid w:val="3FD912CD"/>
    <w:rsid w:val="412F3FB1"/>
    <w:rsid w:val="46407212"/>
    <w:rsid w:val="4C966501"/>
    <w:rsid w:val="51C218E2"/>
    <w:rsid w:val="53E0653B"/>
    <w:rsid w:val="547038B2"/>
    <w:rsid w:val="55AE1180"/>
    <w:rsid w:val="565B0DCD"/>
    <w:rsid w:val="5B706886"/>
    <w:rsid w:val="5DED17D9"/>
    <w:rsid w:val="5F22724A"/>
    <w:rsid w:val="5F611E8E"/>
    <w:rsid w:val="5FFA1EA8"/>
    <w:rsid w:val="63496D46"/>
    <w:rsid w:val="64BE5FF1"/>
    <w:rsid w:val="64E8305A"/>
    <w:rsid w:val="651E6CFA"/>
    <w:rsid w:val="6ADB570C"/>
    <w:rsid w:val="6CEB3327"/>
    <w:rsid w:val="6D572905"/>
    <w:rsid w:val="6DA76161"/>
    <w:rsid w:val="6DAF6629"/>
    <w:rsid w:val="6EFE2336"/>
    <w:rsid w:val="6F010F53"/>
    <w:rsid w:val="71911E9A"/>
    <w:rsid w:val="735F704F"/>
    <w:rsid w:val="740B70D7"/>
    <w:rsid w:val="74983B20"/>
    <w:rsid w:val="75335C86"/>
    <w:rsid w:val="76365CF1"/>
    <w:rsid w:val="774E394F"/>
    <w:rsid w:val="7891379A"/>
    <w:rsid w:val="790408E9"/>
    <w:rsid w:val="7906595E"/>
    <w:rsid w:val="795831A2"/>
    <w:rsid w:val="79D9547D"/>
    <w:rsid w:val="7B220D4D"/>
    <w:rsid w:val="7B4909FD"/>
    <w:rsid w:val="7BE056CD"/>
    <w:rsid w:val="7C471986"/>
    <w:rsid w:val="7CCF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23">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szCs w:val="21"/>
    </w:rPr>
  </w:style>
  <w:style w:type="paragraph" w:styleId="5">
    <w:name w:val="annotation text"/>
    <w:basedOn w:val="1"/>
    <w:link w:val="33"/>
    <w:unhideWhenUsed/>
    <w:qFormat/>
    <w:uiPriority w:val="0"/>
    <w:pPr>
      <w:jc w:val="left"/>
    </w:pPr>
  </w:style>
  <w:style w:type="paragraph" w:styleId="6">
    <w:name w:val="Body Text"/>
    <w:basedOn w:val="1"/>
    <w:link w:val="34"/>
    <w:qFormat/>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35"/>
    <w:qFormat/>
    <w:uiPriority w:val="0"/>
    <w:pPr>
      <w:snapToGrid w:val="0"/>
      <w:spacing w:line="324" w:lineRule="auto"/>
      <w:ind w:firstLine="560" w:firstLineChars="200"/>
    </w:pPr>
    <w:rPr>
      <w:rFonts w:ascii="宋体" w:hAnsi="宋体"/>
      <w:sz w:val="28"/>
    </w:rPr>
  </w:style>
  <w:style w:type="paragraph" w:styleId="8">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ody Text Indent 2"/>
    <w:basedOn w:val="1"/>
    <w:link w:val="36"/>
    <w:qFormat/>
    <w:uiPriority w:val="0"/>
    <w:pPr>
      <w:spacing w:after="120" w:line="480" w:lineRule="auto"/>
      <w:ind w:left="420" w:leftChars="200"/>
    </w:pPr>
  </w:style>
  <w:style w:type="paragraph" w:styleId="10">
    <w:name w:val="Balloon Text"/>
    <w:basedOn w:val="1"/>
    <w:link w:val="37"/>
    <w:unhideWhenUsed/>
    <w:qFormat/>
    <w:uiPriority w:val="0"/>
    <w:rPr>
      <w:sz w:val="18"/>
      <w:szCs w:val="18"/>
    </w:r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4">
    <w:name w:val="footnote text"/>
    <w:basedOn w:val="1"/>
    <w:link w:val="40"/>
    <w:semiHidden/>
    <w:qFormat/>
    <w:uiPriority w:val="0"/>
    <w:pPr>
      <w:adjustRightInd w:val="0"/>
      <w:spacing w:line="312" w:lineRule="atLeast"/>
      <w:jc w:val="left"/>
      <w:textAlignment w:val="baseline"/>
    </w:pPr>
    <w:rPr>
      <w:kern w:val="0"/>
      <w:sz w:val="18"/>
      <w:szCs w:val="20"/>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Body Text 2"/>
    <w:basedOn w:val="1"/>
    <w:link w:val="41"/>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7">
    <w:name w:val="HTML Preformatted"/>
    <w:basedOn w:val="1"/>
    <w:link w:val="4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link w:val="84"/>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link w:val="43"/>
    <w:unhideWhenUsed/>
    <w:qFormat/>
    <w:uiPriority w:val="0"/>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Grid 5"/>
    <w:basedOn w:val="2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4">
    <w:name w:val="Strong"/>
    <w:qFormat/>
    <w:uiPriority w:val="22"/>
    <w:rPr>
      <w:b/>
      <w:bCs/>
    </w:rPr>
  </w:style>
  <w:style w:type="character" w:styleId="25">
    <w:name w:val="page number"/>
    <w:basedOn w:val="23"/>
    <w:qFormat/>
    <w:uiPriority w:val="0"/>
    <w:rPr>
      <w:rFonts w:cs="Times New Roman"/>
      <w:lang w:val="zh-TW" w:eastAsia="zh-TW"/>
    </w:rPr>
  </w:style>
  <w:style w:type="character" w:styleId="26">
    <w:name w:val="FollowedHyperlink"/>
    <w:qFormat/>
    <w:uiPriority w:val="0"/>
    <w:rPr>
      <w:color w:val="800080"/>
      <w:u w:val="single"/>
    </w:rPr>
  </w:style>
  <w:style w:type="character" w:styleId="27">
    <w:name w:val="line number"/>
    <w:qFormat/>
    <w:uiPriority w:val="0"/>
  </w:style>
  <w:style w:type="character" w:styleId="28">
    <w:name w:val="Hyperlink"/>
    <w:qFormat/>
    <w:uiPriority w:val="99"/>
    <w:rPr>
      <w:color w:val="0000FF"/>
      <w:u w:val="single"/>
    </w:rPr>
  </w:style>
  <w:style w:type="character" w:styleId="29">
    <w:name w:val="annotation reference"/>
    <w:basedOn w:val="23"/>
    <w:unhideWhenUsed/>
    <w:qFormat/>
    <w:uiPriority w:val="0"/>
    <w:rPr>
      <w:sz w:val="21"/>
      <w:szCs w:val="21"/>
    </w:rPr>
  </w:style>
  <w:style w:type="character" w:styleId="30">
    <w:name w:val="footnote reference"/>
    <w:semiHidden/>
    <w:qFormat/>
    <w:uiPriority w:val="0"/>
    <w:rPr>
      <w:vertAlign w:val="superscript"/>
    </w:rPr>
  </w:style>
  <w:style w:type="character" w:customStyle="1" w:styleId="31">
    <w:name w:val="标题 1 字符"/>
    <w:basedOn w:val="23"/>
    <w:link w:val="2"/>
    <w:qFormat/>
    <w:uiPriority w:val="9"/>
    <w:rPr>
      <w:rFonts w:ascii="Times New Roman" w:hAnsi="Times New Roman" w:eastAsia="方正仿宋简体" w:cs="Times New Roman"/>
      <w:b/>
      <w:bCs/>
      <w:kern w:val="44"/>
      <w:sz w:val="36"/>
      <w:szCs w:val="44"/>
    </w:rPr>
  </w:style>
  <w:style w:type="character" w:customStyle="1" w:styleId="32">
    <w:name w:val="标题 3 字符"/>
    <w:basedOn w:val="23"/>
    <w:link w:val="3"/>
    <w:qFormat/>
    <w:uiPriority w:val="9"/>
    <w:rPr>
      <w:rFonts w:ascii="宋体" w:hAnsi="宋体" w:eastAsia="宋体" w:cs="宋体"/>
      <w:b/>
      <w:bCs/>
      <w:kern w:val="0"/>
      <w:sz w:val="27"/>
      <w:szCs w:val="27"/>
    </w:rPr>
  </w:style>
  <w:style w:type="character" w:customStyle="1" w:styleId="33">
    <w:name w:val="批注文字 字符"/>
    <w:basedOn w:val="23"/>
    <w:link w:val="5"/>
    <w:qFormat/>
    <w:uiPriority w:val="0"/>
    <w:rPr>
      <w:rFonts w:ascii="Times New Roman" w:hAnsi="Times New Roman" w:eastAsia="宋体" w:cs="Times New Roman"/>
      <w:szCs w:val="24"/>
    </w:rPr>
  </w:style>
  <w:style w:type="character" w:customStyle="1" w:styleId="34">
    <w:name w:val="正文文本 字符"/>
    <w:basedOn w:val="23"/>
    <w:link w:val="6"/>
    <w:qFormat/>
    <w:uiPriority w:val="0"/>
    <w:rPr>
      <w:rFonts w:ascii="仿宋_GB2312" w:hAnsi="Times New Roman" w:eastAsia="仿宋_GB2312" w:cs="Times New Roman"/>
      <w:kern w:val="0"/>
      <w:szCs w:val="20"/>
    </w:rPr>
  </w:style>
  <w:style w:type="character" w:customStyle="1" w:styleId="35">
    <w:name w:val="正文文本缩进 字符"/>
    <w:basedOn w:val="23"/>
    <w:link w:val="7"/>
    <w:qFormat/>
    <w:uiPriority w:val="0"/>
    <w:rPr>
      <w:rFonts w:ascii="宋体" w:hAnsi="宋体" w:eastAsia="宋体" w:cs="Times New Roman"/>
      <w:sz w:val="28"/>
      <w:szCs w:val="24"/>
    </w:rPr>
  </w:style>
  <w:style w:type="character" w:customStyle="1" w:styleId="36">
    <w:name w:val="正文文本缩进 2 字符"/>
    <w:basedOn w:val="23"/>
    <w:link w:val="9"/>
    <w:qFormat/>
    <w:uiPriority w:val="0"/>
    <w:rPr>
      <w:rFonts w:ascii="Times New Roman" w:hAnsi="Times New Roman" w:eastAsia="宋体" w:cs="Times New Roman"/>
      <w:szCs w:val="24"/>
    </w:rPr>
  </w:style>
  <w:style w:type="character" w:customStyle="1" w:styleId="37">
    <w:name w:val="批注框文本 字符"/>
    <w:basedOn w:val="23"/>
    <w:link w:val="10"/>
    <w:qFormat/>
    <w:uiPriority w:val="0"/>
    <w:rPr>
      <w:rFonts w:ascii="Times New Roman" w:hAnsi="Times New Roman" w:eastAsia="宋体" w:cs="Times New Roman"/>
      <w:sz w:val="18"/>
      <w:szCs w:val="18"/>
    </w:rPr>
  </w:style>
  <w:style w:type="character" w:customStyle="1" w:styleId="38">
    <w:name w:val="页脚 字符"/>
    <w:basedOn w:val="23"/>
    <w:link w:val="11"/>
    <w:qFormat/>
    <w:uiPriority w:val="99"/>
    <w:rPr>
      <w:rFonts w:ascii="Times New Roman" w:hAnsi="Times New Roman" w:eastAsia="宋体" w:cs="Times New Roman"/>
      <w:sz w:val="18"/>
      <w:szCs w:val="18"/>
    </w:rPr>
  </w:style>
  <w:style w:type="character" w:customStyle="1" w:styleId="39">
    <w:name w:val="页眉 字符"/>
    <w:basedOn w:val="23"/>
    <w:link w:val="12"/>
    <w:qFormat/>
    <w:uiPriority w:val="99"/>
    <w:rPr>
      <w:rFonts w:ascii="Times New Roman" w:hAnsi="Times New Roman" w:eastAsia="宋体" w:cs="Times New Roman"/>
      <w:sz w:val="18"/>
      <w:szCs w:val="18"/>
    </w:rPr>
  </w:style>
  <w:style w:type="character" w:customStyle="1" w:styleId="40">
    <w:name w:val="脚注文本 字符"/>
    <w:basedOn w:val="23"/>
    <w:link w:val="14"/>
    <w:semiHidden/>
    <w:qFormat/>
    <w:uiPriority w:val="0"/>
    <w:rPr>
      <w:rFonts w:ascii="Times New Roman" w:hAnsi="Times New Roman" w:eastAsia="宋体" w:cs="Times New Roman"/>
      <w:kern w:val="0"/>
      <w:sz w:val="18"/>
      <w:szCs w:val="20"/>
    </w:rPr>
  </w:style>
  <w:style w:type="character" w:customStyle="1" w:styleId="41">
    <w:name w:val="正文文本 2 字符"/>
    <w:basedOn w:val="23"/>
    <w:link w:val="16"/>
    <w:qFormat/>
    <w:uiPriority w:val="0"/>
    <w:rPr>
      <w:rFonts w:ascii="宋体" w:hAnsi="宋体" w:eastAsia="宋体" w:cs="Times New Roman"/>
      <w:kern w:val="0"/>
      <w:szCs w:val="20"/>
    </w:rPr>
  </w:style>
  <w:style w:type="character" w:customStyle="1" w:styleId="42">
    <w:name w:val="HTML 预设格式 字符"/>
    <w:basedOn w:val="23"/>
    <w:link w:val="17"/>
    <w:qFormat/>
    <w:uiPriority w:val="99"/>
    <w:rPr>
      <w:rFonts w:ascii="宋体" w:hAnsi="宋体" w:eastAsia="宋体" w:cs="Times New Roman"/>
      <w:kern w:val="0"/>
      <w:sz w:val="24"/>
      <w:szCs w:val="24"/>
    </w:rPr>
  </w:style>
  <w:style w:type="character" w:customStyle="1" w:styleId="43">
    <w:name w:val="批注主题 字符"/>
    <w:basedOn w:val="33"/>
    <w:link w:val="19"/>
    <w:qFormat/>
    <w:uiPriority w:val="0"/>
    <w:rPr>
      <w:rFonts w:ascii="Times New Roman" w:hAnsi="Times New Roman" w:eastAsia="宋体" w:cs="Times New Roman"/>
      <w:b/>
      <w:bCs/>
      <w:szCs w:val="24"/>
    </w:rPr>
  </w:style>
  <w:style w:type="paragraph" w:customStyle="1" w:styleId="44">
    <w:name w:val="Char"/>
    <w:basedOn w:val="1"/>
    <w:qFormat/>
    <w:uiPriority w:val="0"/>
    <w:rPr>
      <w:rFonts w:ascii="Tahoma" w:hAnsi="Tahoma"/>
      <w:sz w:val="24"/>
      <w:szCs w:val="20"/>
    </w:rPr>
  </w:style>
  <w:style w:type="paragraph" w:customStyle="1" w:styleId="45">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6">
    <w:name w:val="页脚 Char1"/>
    <w:basedOn w:val="23"/>
    <w:qFormat/>
    <w:uiPriority w:val="99"/>
    <w:rPr>
      <w:rFonts w:ascii="Times New Roman" w:hAnsi="Times New Roman" w:eastAsia="宋体" w:cs="Times New Roman"/>
      <w:kern w:val="2"/>
      <w:sz w:val="18"/>
      <w:szCs w:val="18"/>
    </w:rPr>
  </w:style>
  <w:style w:type="paragraph" w:customStyle="1" w:styleId="47">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8">
    <w:name w:val="批注框文本1"/>
    <w:basedOn w:val="1"/>
    <w:semiHidden/>
    <w:qFormat/>
    <w:uiPriority w:val="0"/>
    <w:rPr>
      <w:sz w:val="18"/>
      <w:szCs w:val="18"/>
    </w:rPr>
  </w:style>
  <w:style w:type="character" w:customStyle="1" w:styleId="49">
    <w:name w:val="批注文字 Char1"/>
    <w:qFormat/>
    <w:uiPriority w:val="0"/>
    <w:rPr>
      <w:kern w:val="2"/>
      <w:sz w:val="21"/>
      <w:szCs w:val="24"/>
    </w:rPr>
  </w:style>
  <w:style w:type="character" w:customStyle="1" w:styleId="50">
    <w:name w:val="批注主题 Char1"/>
    <w:qFormat/>
    <w:uiPriority w:val="0"/>
    <w:rPr>
      <w:b/>
      <w:bCs/>
      <w:kern w:val="2"/>
      <w:sz w:val="21"/>
      <w:szCs w:val="24"/>
    </w:rPr>
  </w:style>
  <w:style w:type="character" w:customStyle="1" w:styleId="51">
    <w:name w:val="批注框文本 Char1"/>
    <w:qFormat/>
    <w:uiPriority w:val="0"/>
    <w:rPr>
      <w:kern w:val="2"/>
      <w:sz w:val="18"/>
      <w:szCs w:val="18"/>
    </w:rPr>
  </w:style>
  <w:style w:type="character" w:customStyle="1" w:styleId="52">
    <w:name w:val="正文文本缩进 Char1"/>
    <w:qFormat/>
    <w:uiPriority w:val="0"/>
    <w:rPr>
      <w:rFonts w:ascii="宋体" w:hAnsi="宋体"/>
      <w:kern w:val="2"/>
      <w:sz w:val="28"/>
      <w:szCs w:val="24"/>
    </w:rPr>
  </w:style>
  <w:style w:type="character" w:customStyle="1" w:styleId="53">
    <w:name w:val="正文文本缩进 2 Char1"/>
    <w:qFormat/>
    <w:uiPriority w:val="0"/>
    <w:rPr>
      <w:kern w:val="2"/>
      <w:sz w:val="21"/>
      <w:szCs w:val="24"/>
    </w:rPr>
  </w:style>
  <w:style w:type="paragraph" w:customStyle="1" w:styleId="54">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datatitle1"/>
    <w:qFormat/>
    <w:uiPriority w:val="0"/>
    <w:rPr>
      <w:b/>
      <w:bCs/>
      <w:color w:val="10619F"/>
      <w:sz w:val="21"/>
      <w:szCs w:val="21"/>
    </w:rPr>
  </w:style>
  <w:style w:type="paragraph" w:styleId="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修订1"/>
    <w:hidden/>
    <w:qFormat/>
    <w:uiPriority w:val="71"/>
    <w:rPr>
      <w:rFonts w:ascii="Times New Roman" w:hAnsi="Times New Roman" w:eastAsia="宋体" w:cs="Times New Roman"/>
      <w:kern w:val="2"/>
      <w:sz w:val="21"/>
      <w:szCs w:val="24"/>
      <w:lang w:val="en-US" w:eastAsia="zh-CN" w:bidi="ar-SA"/>
    </w:rPr>
  </w:style>
  <w:style w:type="character" w:customStyle="1" w:styleId="59">
    <w:name w:val="页眉 Char1"/>
    <w:qFormat/>
    <w:uiPriority w:val="99"/>
    <w:rPr>
      <w:kern w:val="2"/>
      <w:sz w:val="18"/>
      <w:szCs w:val="18"/>
    </w:rPr>
  </w:style>
  <w:style w:type="character" w:customStyle="1" w:styleId="60">
    <w:name w:val="页脚 Char2"/>
    <w:qFormat/>
    <w:uiPriority w:val="99"/>
    <w:rPr>
      <w:kern w:val="2"/>
      <w:sz w:val="18"/>
      <w:szCs w:val="18"/>
    </w:rPr>
  </w:style>
  <w:style w:type="character" w:customStyle="1" w:styleId="61">
    <w:name w:val="HTML 预设格式 Char1"/>
    <w:qFormat/>
    <w:uiPriority w:val="99"/>
    <w:rPr>
      <w:rFonts w:ascii="宋体" w:hAnsi="宋体" w:cs="宋体"/>
      <w:sz w:val="24"/>
      <w:szCs w:val="24"/>
    </w:rPr>
  </w:style>
  <w:style w:type="character" w:customStyle="1" w:styleId="62">
    <w:name w:val="标题 3 Char1"/>
    <w:basedOn w:val="23"/>
    <w:qFormat/>
    <w:uiPriority w:val="9"/>
    <w:rPr>
      <w:rFonts w:ascii="宋体" w:hAnsi="宋体" w:cs="宋体"/>
      <w:b/>
      <w:bCs/>
      <w:sz w:val="27"/>
      <w:szCs w:val="27"/>
    </w:rPr>
  </w:style>
  <w:style w:type="paragraph" w:styleId="63">
    <w:name w:val="List Paragraph"/>
    <w:basedOn w:val="1"/>
    <w:qFormat/>
    <w:uiPriority w:val="34"/>
    <w:pPr>
      <w:ind w:firstLine="420" w:firstLineChars="200"/>
    </w:pPr>
  </w:style>
  <w:style w:type="paragraph" w:customStyle="1" w:styleId="64">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5">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6">
    <w:name w:val="页脚 Char3"/>
    <w:basedOn w:val="23"/>
    <w:qFormat/>
    <w:uiPriority w:val="99"/>
    <w:rPr>
      <w:sz w:val="18"/>
    </w:rPr>
  </w:style>
  <w:style w:type="character" w:customStyle="1" w:styleId="67">
    <w:name w:val="页眉 Char2"/>
    <w:basedOn w:val="23"/>
    <w:qFormat/>
    <w:uiPriority w:val="99"/>
    <w:rPr>
      <w:sz w:val="18"/>
    </w:rPr>
  </w:style>
  <w:style w:type="character" w:customStyle="1" w:styleId="68">
    <w:name w:val="op_dict3_font241"/>
    <w:basedOn w:val="23"/>
    <w:qFormat/>
    <w:uiPriority w:val="0"/>
    <w:rPr>
      <w:rFonts w:hint="default" w:ascii="Arial" w:hAnsi="Arial" w:cs="Arial"/>
      <w:sz w:val="36"/>
      <w:szCs w:val="36"/>
    </w:rPr>
  </w:style>
  <w:style w:type="paragraph" w:customStyle="1" w:styleId="69">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70">
    <w:name w:val="页脚 Char4"/>
    <w:basedOn w:val="23"/>
    <w:qFormat/>
    <w:uiPriority w:val="99"/>
    <w:rPr>
      <w:sz w:val="18"/>
    </w:rPr>
  </w:style>
  <w:style w:type="character" w:customStyle="1" w:styleId="71">
    <w:name w:val="页眉 Char3"/>
    <w:basedOn w:val="23"/>
    <w:qFormat/>
    <w:uiPriority w:val="99"/>
    <w:rPr>
      <w:sz w:val="18"/>
    </w:rPr>
  </w:style>
  <w:style w:type="character" w:customStyle="1" w:styleId="72">
    <w:name w:val="op_dict3_font2411"/>
    <w:basedOn w:val="23"/>
    <w:qFormat/>
    <w:uiPriority w:val="0"/>
    <w:rPr>
      <w:rFonts w:hint="default" w:ascii="Arial" w:hAnsi="Arial" w:cs="Arial"/>
      <w:sz w:val="36"/>
      <w:szCs w:val="36"/>
    </w:rPr>
  </w:style>
  <w:style w:type="character" w:customStyle="1" w:styleId="73">
    <w:name w:val="批注框文本 Char2"/>
    <w:semiHidden/>
    <w:qFormat/>
    <w:uiPriority w:val="99"/>
    <w:rPr>
      <w:kern w:val="2"/>
      <w:sz w:val="18"/>
      <w:szCs w:val="18"/>
    </w:rPr>
  </w:style>
  <w:style w:type="paragraph" w:customStyle="1" w:styleId="74">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5">
    <w:name w:val="页脚 Char5"/>
    <w:basedOn w:val="23"/>
    <w:qFormat/>
    <w:uiPriority w:val="99"/>
    <w:rPr>
      <w:kern w:val="2"/>
      <w:sz w:val="18"/>
      <w:szCs w:val="24"/>
    </w:rPr>
  </w:style>
  <w:style w:type="character" w:customStyle="1" w:styleId="76">
    <w:name w:val="页眉 Char4"/>
    <w:basedOn w:val="23"/>
    <w:qFormat/>
    <w:uiPriority w:val="0"/>
    <w:rPr>
      <w:sz w:val="18"/>
      <w:szCs w:val="18"/>
    </w:rPr>
  </w:style>
  <w:style w:type="character" w:customStyle="1" w:styleId="77">
    <w:name w:val="页脚 Char6"/>
    <w:basedOn w:val="23"/>
    <w:qFormat/>
    <w:uiPriority w:val="99"/>
    <w:rPr>
      <w:sz w:val="18"/>
      <w:szCs w:val="18"/>
    </w:rPr>
  </w:style>
  <w:style w:type="paragraph" w:customStyle="1" w:styleId="78">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9">
    <w:name w:val="页脚 Char7"/>
    <w:qFormat/>
    <w:uiPriority w:val="99"/>
    <w:rPr>
      <w:sz w:val="18"/>
    </w:rPr>
  </w:style>
  <w:style w:type="character" w:customStyle="1" w:styleId="80">
    <w:name w:val="页眉 Char5"/>
    <w:qFormat/>
    <w:uiPriority w:val="99"/>
    <w:rPr>
      <w:sz w:val="18"/>
    </w:rPr>
  </w:style>
  <w:style w:type="character" w:customStyle="1" w:styleId="81">
    <w:name w:val="批注文字 Char2"/>
    <w:qFormat/>
    <w:uiPriority w:val="0"/>
    <w:rPr>
      <w:kern w:val="2"/>
      <w:sz w:val="21"/>
      <w:szCs w:val="24"/>
    </w:rPr>
  </w:style>
  <w:style w:type="character" w:customStyle="1" w:styleId="82">
    <w:name w:val="批注主题 Char2"/>
    <w:qFormat/>
    <w:uiPriority w:val="0"/>
    <w:rPr>
      <w:b/>
      <w:bCs/>
      <w:kern w:val="2"/>
      <w:sz w:val="21"/>
      <w:szCs w:val="24"/>
    </w:rPr>
  </w:style>
  <w:style w:type="paragraph" w:customStyle="1" w:styleId="83">
    <w:name w:val="样式1"/>
    <w:basedOn w:val="18"/>
    <w:next w:val="2"/>
    <w:link w:val="85"/>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4">
    <w:name w:val="普通(网站) 字符"/>
    <w:basedOn w:val="23"/>
    <w:link w:val="18"/>
    <w:qFormat/>
    <w:uiPriority w:val="99"/>
    <w:rPr>
      <w:rFonts w:ascii="宋体" w:hAnsi="宋体" w:eastAsia="宋体" w:cs="宋体"/>
      <w:kern w:val="0"/>
      <w:sz w:val="24"/>
      <w:szCs w:val="24"/>
    </w:rPr>
  </w:style>
  <w:style w:type="character" w:customStyle="1" w:styleId="85">
    <w:name w:val="样式1 Char"/>
    <w:basedOn w:val="84"/>
    <w:link w:val="83"/>
    <w:qFormat/>
    <w:uiPriority w:val="0"/>
    <w:rPr>
      <w:rFonts w:ascii="方正小标宋简体" w:hAnsi="黑体" w:eastAsia="方正小标宋简体" w:cs="Times New Roman"/>
      <w:kern w:val="0"/>
      <w:sz w:val="36"/>
      <w:szCs w:val="36"/>
    </w:rPr>
  </w:style>
  <w:style w:type="paragraph" w:customStyle="1" w:styleId="8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9">
    <w:name w:val="Table Paragraph"/>
    <w:basedOn w:val="1"/>
    <w:qFormat/>
    <w:uiPriority w:val="1"/>
    <w:pPr>
      <w:autoSpaceDE w:val="0"/>
      <w:autoSpaceDN w:val="0"/>
      <w:jc w:val="left"/>
    </w:pPr>
    <w:rPr>
      <w:rFonts w:ascii="宋体" w:hAnsi="宋体" w:cs="宋体"/>
      <w:kern w:val="0"/>
      <w:sz w:val="22"/>
      <w:szCs w:val="22"/>
    </w:rPr>
  </w:style>
  <w:style w:type="paragraph" w:customStyle="1" w:styleId="90">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91">
    <w:name w:val="目录 11"/>
    <w:basedOn w:val="1"/>
    <w:next w:val="1"/>
    <w:qFormat/>
    <w:uiPriority w:val="0"/>
    <w:pPr>
      <w:spacing w:line="300" w:lineRule="exact"/>
      <w:jc w:val="center"/>
    </w:pPr>
    <w:rPr>
      <w:rFonts w:ascii="宋体" w:hAnsi="宋体" w:cs="宋体"/>
      <w:kern w:val="0"/>
      <w:szCs w:val="21"/>
    </w:rPr>
  </w:style>
  <w:style w:type="character" w:customStyle="1" w:styleId="92">
    <w:name w:val="fontstyle01"/>
    <w:basedOn w:val="23"/>
    <w:qFormat/>
    <w:uiPriority w:val="0"/>
    <w:rPr>
      <w:rFonts w:hint="eastAsia" w:ascii="仿宋_GB2312" w:eastAsia="仿宋_GB2312"/>
      <w:color w:val="000000"/>
      <w:sz w:val="22"/>
      <w:szCs w:val="22"/>
    </w:rPr>
  </w:style>
  <w:style w:type="character" w:customStyle="1" w:styleId="93">
    <w:name w:val="fontstyle21"/>
    <w:basedOn w:val="23"/>
    <w:qFormat/>
    <w:uiPriority w:val="0"/>
    <w:rPr>
      <w:rFonts w:hint="default" w:ascii="TimesNewRomanPSMT" w:hAnsi="TimesNewRomanPSMT"/>
      <w:color w:val="000000"/>
      <w:sz w:val="22"/>
      <w:szCs w:val="22"/>
    </w:rPr>
  </w:style>
  <w:style w:type="table" w:customStyle="1" w:styleId="94">
    <w:name w:val="Table Normal"/>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4905-9C9C-4499-9C61-C327612F40A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4250</Words>
  <Characters>4406</Characters>
  <Lines>200</Lines>
  <Paragraphs>197</Paragraphs>
  <TotalTime>1</TotalTime>
  <ScaleCrop>false</ScaleCrop>
  <LinksUpToDate>false</LinksUpToDate>
  <CharactersWithSpaces>4431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2025-07-09T01:57:00Z</dcterms:created>
  <dc:creator>Windows 用户</dc:creator>
  <cp:lastModifiedBy>c</cp:lastModifiedBy>
  <dcterms:modified xsi:type="dcterms:W3CDTF">2025-07-11T06:00:58Z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eyJoZGlkIjoiOWRjZDZhMDc3MzNhZTA0NjhkOWJmZjA4OWNhMzcxYmQiLCJ1c2VySWQiOiI4NTg4MTgxNTkifQ==</vt:lpwstr>
  </property>
  <property fmtid="{D5CDD505-2E9C-101B-9397-08002B2CF9AE}" pid="4" name="ICV">
    <vt:lpwstr>E2342E7A985A4847809FF8783C50B3DE_13</vt:lpwstr>
  </property>
</Properties>
</file>