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8280" w:type="dxa"/>
        <w:tblInd w:w="108" w:type="dxa"/>
        <w:tblLayout w:type="fixed"/>
        <w:tblCellMar>
          <w:top w:w="0" w:type="dxa"/>
          <w:left w:w="108" w:type="dxa"/>
          <w:bottom w:w="0" w:type="dxa"/>
          <w:right w:w="108" w:type="dxa"/>
        </w:tblCellMar>
      </w:tblPr>
      <w:tblGrid>
        <w:gridCol w:w="8280"/>
      </w:tblGrid>
      <w:tr>
        <w:tblPrEx>
          <w:tblLayout w:type="fixed"/>
          <w:tblCellMar>
            <w:top w:w="0" w:type="dxa"/>
            <w:left w:w="108" w:type="dxa"/>
            <w:bottom w:w="0" w:type="dxa"/>
            <w:right w:w="108" w:type="dxa"/>
          </w:tblCellMar>
        </w:tblPrEx>
        <w:trPr>
          <w:trHeight w:val="1247" w:hRule="atLeast"/>
        </w:trPr>
        <w:tc>
          <w:tcPr>
            <w:tcW w:w="8280" w:type="dxa"/>
            <w:tcBorders>
              <w:bottom w:val="threeDEmboss" w:color="auto" w:sz="24" w:space="0"/>
            </w:tcBorders>
            <w:vAlign w:val="top"/>
          </w:tcPr>
          <w:p>
            <w:pPr>
              <w:spacing w:line="360" w:lineRule="auto"/>
              <w:rPr>
                <w:rFonts w:hint="eastAsia" w:eastAsia="黑体"/>
                <w:b/>
                <w:bCs/>
                <w:sz w:val="44"/>
              </w:rPr>
            </w:pPr>
            <w:r>
              <w:rPr>
                <w:rFonts w:hint="eastAsia"/>
              </w:rPr>
              <w:t xml:space="preserve">    </w:t>
            </w:r>
            <w:r>
              <w:rPr>
                <w:rFonts w:hint="eastAsia" w:eastAsia="黑体"/>
                <w:b/>
                <w:bCs/>
                <w:sz w:val="44"/>
              </w:rPr>
              <w:t xml:space="preserve">    齐鲁工业大学教务处函件</w:t>
            </w:r>
          </w:p>
          <w:p>
            <w:pPr>
              <w:spacing w:line="360" w:lineRule="auto"/>
              <w:ind w:firstLine="5313" w:firstLineChars="2205"/>
              <w:rPr>
                <w:rFonts w:hint="eastAsia" w:ascii="仿宋_GB2312" w:eastAsia="仿宋_GB2312"/>
                <w:b/>
                <w:bCs/>
                <w:sz w:val="24"/>
              </w:rPr>
            </w:pPr>
            <w:r>
              <w:rPr>
                <w:rFonts w:hint="eastAsia" w:ascii="仿宋_GB2312" w:eastAsia="仿宋_GB2312"/>
                <w:b/>
                <w:bCs/>
                <w:sz w:val="24"/>
              </w:rPr>
              <w:t>教字[1</w:t>
            </w:r>
            <w:r>
              <w:rPr>
                <w:rFonts w:hint="eastAsia" w:ascii="仿宋_GB2312" w:eastAsia="仿宋_GB2312"/>
                <w:b/>
                <w:bCs/>
                <w:sz w:val="24"/>
                <w:lang w:val="en-US" w:eastAsia="zh-CN"/>
              </w:rPr>
              <w:t>7</w:t>
            </w:r>
            <w:r>
              <w:rPr>
                <w:rFonts w:hint="eastAsia" w:ascii="仿宋_GB2312" w:eastAsia="仿宋_GB2312"/>
                <w:b/>
                <w:bCs/>
                <w:sz w:val="24"/>
              </w:rPr>
              <w:t>/1</w:t>
            </w:r>
            <w:r>
              <w:rPr>
                <w:rFonts w:hint="eastAsia" w:ascii="仿宋_GB2312" w:eastAsia="仿宋_GB2312"/>
                <w:b/>
                <w:bCs/>
                <w:sz w:val="24"/>
                <w:lang w:val="en-US" w:eastAsia="zh-CN"/>
              </w:rPr>
              <w:t>8-</w:t>
            </w:r>
            <w:r>
              <w:rPr>
                <w:rFonts w:hint="eastAsia" w:ascii="仿宋_GB2312" w:eastAsia="仿宋_GB2312"/>
                <w:b/>
                <w:bCs/>
                <w:sz w:val="24"/>
              </w:rPr>
              <w:t>Ⅱ]</w:t>
            </w:r>
            <w:r>
              <w:rPr>
                <w:rFonts w:hint="eastAsia" w:ascii="仿宋_GB2312" w:eastAsia="仿宋_GB2312"/>
                <w:b/>
                <w:bCs/>
                <w:sz w:val="24"/>
                <w:lang w:val="en-US" w:eastAsia="zh-CN"/>
              </w:rPr>
              <w:t>3</w:t>
            </w:r>
            <w:r>
              <w:rPr>
                <w:rFonts w:hint="eastAsia" w:ascii="仿宋_GB2312" w:eastAsia="仿宋_GB2312"/>
                <w:b/>
                <w:bCs/>
                <w:sz w:val="24"/>
              </w:rPr>
              <w:t>号</w:t>
            </w:r>
          </w:p>
        </w:tc>
      </w:tr>
    </w:tbl>
    <w:p>
      <w:pPr>
        <w:spacing w:line="240" w:lineRule="auto"/>
        <w:ind w:left="0" w:leftChars="0" w:firstLine="0" w:firstLineChars="0"/>
        <w:jc w:val="center"/>
        <w:rPr>
          <w:rFonts w:hint="eastAsia" w:ascii="黑体" w:hAnsi="黑体" w:eastAsia="黑体" w:cs="黑体"/>
          <w:b w:val="0"/>
          <w:bCs w:val="0"/>
          <w:sz w:val="36"/>
          <w:szCs w:val="36"/>
        </w:rPr>
      </w:pPr>
      <w:r>
        <w:rPr>
          <w:rFonts w:hint="eastAsia" w:ascii="黑体" w:hAnsi="黑体" w:eastAsia="黑体" w:cs="黑体"/>
          <w:b w:val="0"/>
          <w:bCs w:val="0"/>
          <w:sz w:val="36"/>
          <w:szCs w:val="36"/>
        </w:rPr>
        <w:t>关于2017/2018学年第</w:t>
      </w:r>
      <w:r>
        <w:rPr>
          <w:rFonts w:hint="eastAsia" w:ascii="黑体" w:hAnsi="黑体" w:eastAsia="黑体" w:cs="黑体"/>
          <w:b w:val="0"/>
          <w:bCs w:val="0"/>
          <w:sz w:val="36"/>
          <w:szCs w:val="36"/>
          <w:lang w:eastAsia="zh-CN"/>
        </w:rPr>
        <w:t>二</w:t>
      </w:r>
      <w:r>
        <w:rPr>
          <w:rFonts w:hint="eastAsia" w:ascii="黑体" w:hAnsi="黑体" w:eastAsia="黑体" w:cs="黑体"/>
          <w:b w:val="0"/>
          <w:bCs w:val="0"/>
          <w:sz w:val="36"/>
          <w:szCs w:val="36"/>
        </w:rPr>
        <w:t>学期</w:t>
      </w:r>
    </w:p>
    <w:p>
      <w:pPr>
        <w:spacing w:line="240" w:lineRule="auto"/>
        <w:ind w:left="0" w:leftChars="0" w:firstLine="0" w:firstLineChars="0"/>
        <w:jc w:val="center"/>
        <w:rPr>
          <w:rFonts w:hint="eastAsia"/>
          <w:b/>
          <w:bCs/>
          <w:sz w:val="36"/>
          <w:szCs w:val="36"/>
        </w:rPr>
      </w:pPr>
      <w:r>
        <w:rPr>
          <w:rFonts w:hint="eastAsia" w:ascii="黑体" w:hAnsi="黑体" w:eastAsia="黑体" w:cs="黑体"/>
          <w:b w:val="0"/>
          <w:bCs w:val="0"/>
          <w:sz w:val="36"/>
          <w:szCs w:val="36"/>
        </w:rPr>
        <w:t>学籍异动与选课未达标学生补选课程</w:t>
      </w:r>
      <w:r>
        <w:rPr>
          <w:rFonts w:hint="eastAsia" w:ascii="黑体" w:hAnsi="黑体" w:eastAsia="黑体" w:cs="黑体"/>
          <w:b w:val="0"/>
          <w:bCs w:val="0"/>
          <w:sz w:val="36"/>
          <w:szCs w:val="36"/>
          <w:lang w:eastAsia="zh-CN"/>
        </w:rPr>
        <w:t>的</w:t>
      </w:r>
      <w:r>
        <w:rPr>
          <w:rFonts w:hint="eastAsia" w:ascii="黑体" w:hAnsi="黑体" w:eastAsia="黑体" w:cs="黑体"/>
          <w:b w:val="0"/>
          <w:bCs w:val="0"/>
          <w:sz w:val="36"/>
          <w:szCs w:val="36"/>
        </w:rPr>
        <w:t>通知</w:t>
      </w:r>
    </w:p>
    <w:p>
      <w:pPr>
        <w:spacing w:line="240" w:lineRule="auto"/>
        <w:ind w:firstLine="480"/>
        <w:jc w:val="center"/>
        <w:rPr>
          <w:rFonts w:hint="eastAsia"/>
          <w:sz w:val="24"/>
          <w:szCs w:val="24"/>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各相关单位：</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left="0" w:leftChars="0" w:right="0" w:rightChars="0" w:firstLine="560" w:firstLineChars="200"/>
        <w:jc w:val="both"/>
        <w:textAlignment w:val="auto"/>
        <w:outlineLvl w:val="9"/>
        <w:rPr>
          <w:rFonts w:hint="eastAsia" w:ascii="仿宋_GB2312" w:hAnsi="仿宋_GB2312" w:eastAsia="仿宋_GB2312" w:cs="仿宋_GB2312"/>
          <w:b/>
          <w:bCs/>
          <w:sz w:val="28"/>
          <w:szCs w:val="28"/>
          <w:lang w:bidi="ar"/>
        </w:rPr>
      </w:pPr>
      <w:r>
        <w:rPr>
          <w:rFonts w:hint="eastAsia" w:ascii="仿宋_GB2312" w:hAnsi="仿宋_GB2312" w:eastAsia="仿宋_GB2312" w:cs="仿宋_GB2312"/>
          <w:sz w:val="28"/>
          <w:szCs w:val="28"/>
          <w:lang w:bidi="ar"/>
        </w:rPr>
        <w:t>2017/2018学年第</w:t>
      </w:r>
      <w:r>
        <w:rPr>
          <w:rFonts w:hint="eastAsia" w:ascii="仿宋_GB2312" w:hAnsi="仿宋_GB2312" w:eastAsia="仿宋_GB2312" w:cs="仿宋_GB2312"/>
          <w:sz w:val="28"/>
          <w:szCs w:val="28"/>
          <w:lang w:eastAsia="zh-CN" w:bidi="ar"/>
        </w:rPr>
        <w:t>二</w:t>
      </w:r>
      <w:r>
        <w:rPr>
          <w:rFonts w:hint="eastAsia" w:ascii="仿宋_GB2312" w:hAnsi="仿宋_GB2312" w:eastAsia="仿宋_GB2312" w:cs="仿宋_GB2312"/>
          <w:sz w:val="28"/>
          <w:szCs w:val="28"/>
          <w:lang w:bidi="ar"/>
        </w:rPr>
        <w:t>学期</w:t>
      </w:r>
      <w:r>
        <w:rPr>
          <w:rFonts w:hint="eastAsia" w:ascii="仿宋_GB2312" w:hAnsi="仿宋_GB2312" w:eastAsia="仿宋_GB2312" w:cs="仿宋_GB2312"/>
          <w:sz w:val="28"/>
          <w:szCs w:val="28"/>
        </w:rPr>
        <w:t>学籍异动（复学、降级、转专业）与选课未达标学生补选课程</w:t>
      </w:r>
      <w:r>
        <w:rPr>
          <w:rFonts w:hint="eastAsia" w:ascii="仿宋_GB2312" w:hAnsi="仿宋_GB2312" w:eastAsia="仿宋_GB2312" w:cs="仿宋_GB2312"/>
          <w:sz w:val="28"/>
          <w:szCs w:val="28"/>
          <w:lang w:bidi="ar"/>
        </w:rPr>
        <w:t>工作即将开始</w:t>
      </w:r>
      <w:r>
        <w:rPr>
          <w:rFonts w:hint="eastAsia" w:ascii="仿宋_GB2312" w:hAnsi="仿宋_GB2312" w:eastAsia="仿宋_GB2312" w:cs="仿宋_GB2312"/>
          <w:sz w:val="28"/>
          <w:szCs w:val="28"/>
          <w:lang w:eastAsia="zh-CN" w:bidi="ar"/>
        </w:rPr>
        <w:t>，</w:t>
      </w:r>
      <w:r>
        <w:rPr>
          <w:rFonts w:hint="eastAsia" w:ascii="仿宋_GB2312" w:hAnsi="仿宋_GB2312" w:eastAsia="仿宋_GB2312" w:cs="仿宋_GB2312"/>
          <w:sz w:val="28"/>
          <w:szCs w:val="28"/>
          <w:lang w:bidi="ar"/>
        </w:rPr>
        <w:t>为了学生能够正常顺利地进行网上选课，请学生所在院（部）做好如下工作：</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560" w:firstLineChars="20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按照《齐鲁工业大学本科学生学分制学籍管理暂行规定》（齐鲁工大校字〔2017〕88号）要求，实施学分制改革的2015级及以后本科生在允许修业年限内修满专业</w:t>
      </w:r>
      <w:r>
        <w:rPr>
          <w:rFonts w:hint="eastAsia" w:ascii="仿宋_GB2312" w:hAnsi="仿宋_GB2312" w:eastAsia="仿宋_GB2312" w:cs="仿宋_GB2312"/>
          <w:b/>
          <w:bCs/>
          <w:sz w:val="28"/>
          <w:szCs w:val="28"/>
        </w:rPr>
        <w:t>培养方案</w:t>
      </w:r>
      <w:r>
        <w:rPr>
          <w:rFonts w:hint="eastAsia" w:ascii="仿宋_GB2312" w:hAnsi="仿宋_GB2312" w:eastAsia="仿宋_GB2312" w:cs="仿宋_GB2312"/>
          <w:sz w:val="28"/>
          <w:szCs w:val="28"/>
        </w:rPr>
        <w:t>规定的课程，成绩合格，取得要求的总学分，准予毕业，毕业审核严格按照毕业所在专业培养方案要求进行，请各单位务必通知到每一位学生</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注意各类课程的修读要求，检查其学业完成情况（可在教学管理系统中查看），及时进行各类课程的补修。</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560" w:firstLineChars="200"/>
        <w:jc w:val="lef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201</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级及</w:t>
      </w:r>
      <w:r>
        <w:rPr>
          <w:rFonts w:hint="eastAsia" w:ascii="仿宋_GB2312" w:hAnsi="仿宋_GB2312" w:eastAsia="仿宋_GB2312" w:cs="仿宋_GB2312"/>
          <w:sz w:val="28"/>
          <w:szCs w:val="28"/>
          <w:lang w:eastAsia="zh-CN"/>
        </w:rPr>
        <w:t>以后</w:t>
      </w:r>
      <w:r>
        <w:rPr>
          <w:rFonts w:hint="eastAsia" w:ascii="仿宋_GB2312" w:hAnsi="仿宋_GB2312" w:eastAsia="仿宋_GB2312" w:cs="仿宋_GB2312"/>
          <w:sz w:val="28"/>
          <w:szCs w:val="28"/>
        </w:rPr>
        <w:t>本科生</w:t>
      </w:r>
      <w:r>
        <w:rPr>
          <w:rFonts w:hint="eastAsia" w:ascii="仿宋_GB2312" w:hAnsi="仿宋_GB2312" w:eastAsia="仿宋_GB2312" w:cs="仿宋_GB2312"/>
          <w:b/>
          <w:bCs/>
          <w:sz w:val="28"/>
          <w:szCs w:val="28"/>
        </w:rPr>
        <w:t>通选课</w:t>
      </w:r>
      <w:r>
        <w:rPr>
          <w:rFonts w:hint="eastAsia" w:ascii="仿宋_GB2312" w:hAnsi="仿宋_GB2312" w:eastAsia="仿宋_GB2312" w:cs="仿宋_GB2312"/>
          <w:sz w:val="28"/>
          <w:szCs w:val="28"/>
        </w:rPr>
        <w:t>（即公选课，下同）将按照《齐鲁工业大学关于制定2015版本科人才培养方案的指导性意见》（齐鲁工大教字〔201</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〕18号）要求执行，其中通识教育选修课划分为人文社科类、自然科学类、经济管理类、艺术体育类、外语类等5大类，需修够8学分，学生从</w:t>
      </w:r>
      <w:r>
        <w:rPr>
          <w:rFonts w:hint="eastAsia" w:ascii="仿宋_GB2312" w:hAnsi="仿宋_GB2312" w:eastAsia="仿宋_GB2312" w:cs="仿宋_GB2312"/>
          <w:b/>
          <w:bCs/>
          <w:sz w:val="28"/>
          <w:szCs w:val="28"/>
        </w:rPr>
        <w:t>一年级</w:t>
      </w:r>
      <w:r>
        <w:rPr>
          <w:rFonts w:hint="eastAsia" w:ascii="仿宋_GB2312" w:hAnsi="仿宋_GB2312" w:eastAsia="仿宋_GB2312" w:cs="仿宋_GB2312"/>
          <w:b/>
          <w:bCs/>
          <w:sz w:val="28"/>
          <w:szCs w:val="28"/>
          <w:lang w:eastAsia="zh-CN"/>
        </w:rPr>
        <w:t>下学期</w:t>
      </w:r>
      <w:r>
        <w:rPr>
          <w:rFonts w:hint="eastAsia" w:ascii="仿宋_GB2312" w:hAnsi="仿宋_GB2312" w:eastAsia="仿宋_GB2312" w:cs="仿宋_GB2312"/>
          <w:sz w:val="28"/>
          <w:szCs w:val="28"/>
        </w:rPr>
        <w:t>开始选修通识教育选修课且必须除本专业类别以外的其余四类课程中至少各修读1门。</w:t>
      </w:r>
      <w:r>
        <w:rPr>
          <w:rFonts w:hint="eastAsia" w:ascii="仿宋_GB2312" w:hAnsi="仿宋_GB2312" w:eastAsia="仿宋_GB2312" w:cs="仿宋_GB2312"/>
          <w:sz w:val="28"/>
          <w:szCs w:val="28"/>
          <w:highlight w:val="none"/>
        </w:rPr>
        <w:t>开放性实验类课程按照《齐鲁工业大学开放性实验管理办法》</w:t>
      </w:r>
      <w:r>
        <w:rPr>
          <w:rFonts w:hint="eastAsia" w:ascii="仿宋_GB2312" w:hAnsi="仿宋_GB2312" w:eastAsia="仿宋_GB2312" w:cs="仿宋_GB2312"/>
          <w:sz w:val="28"/>
          <w:szCs w:val="28"/>
          <w:highlight w:val="none"/>
          <w:lang w:eastAsia="zh-CN"/>
        </w:rPr>
        <w:t>（齐鲁工大教字</w:t>
      </w:r>
      <w:r>
        <w:rPr>
          <w:rFonts w:hint="eastAsia" w:ascii="仿宋_GB2312" w:hAnsi="仿宋_GB2312" w:eastAsia="仿宋_GB2312" w:cs="仿宋_GB2312"/>
          <w:sz w:val="28"/>
          <w:szCs w:val="28"/>
          <w:highlight w:val="none"/>
        </w:rPr>
        <w:t>〔201</w:t>
      </w:r>
      <w:r>
        <w:rPr>
          <w:rFonts w:hint="eastAsia" w:ascii="仿宋_GB2312" w:hAnsi="仿宋_GB2312" w:eastAsia="仿宋_GB2312" w:cs="仿宋_GB2312"/>
          <w:sz w:val="28"/>
          <w:szCs w:val="28"/>
          <w:highlight w:val="none"/>
          <w:lang w:val="en-US" w:eastAsia="zh-CN"/>
        </w:rPr>
        <w:t>3</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eastAsia="zh-CN"/>
        </w:rPr>
        <w:t>31 号）</w:t>
      </w:r>
      <w:r>
        <w:rPr>
          <w:rFonts w:hint="eastAsia" w:ascii="仿宋_GB2312" w:hAnsi="仿宋_GB2312" w:eastAsia="仿宋_GB2312" w:cs="仿宋_GB2312"/>
          <w:sz w:val="28"/>
          <w:szCs w:val="28"/>
          <w:highlight w:val="none"/>
        </w:rPr>
        <w:t>要求，开放实验所获学分可替代通选课学分（5类通识教育选修课中任一类别）和本专业选修课学分</w:t>
      </w:r>
      <w:r>
        <w:rPr>
          <w:rFonts w:hint="eastAsia" w:ascii="仿宋_GB2312" w:hAnsi="仿宋_GB2312" w:eastAsia="仿宋_GB2312" w:cs="仿宋_GB2312"/>
          <w:sz w:val="28"/>
          <w:szCs w:val="28"/>
          <w:highlight w:val="none"/>
          <w:lang w:eastAsia="zh-CN"/>
        </w:rPr>
        <w:t>（其中替代专业选修课学分所涉及到的开放实验项目要与学生所学专业相关，符合其专业培养目标和教学要求，且要经学生所在学院认定后方可替代）</w:t>
      </w:r>
      <w:r>
        <w:rPr>
          <w:rFonts w:hint="eastAsia" w:ascii="仿宋_GB2312" w:hAnsi="仿宋_GB2312" w:eastAsia="仿宋_GB2312" w:cs="仿宋_GB2312"/>
          <w:sz w:val="28"/>
          <w:szCs w:val="28"/>
          <w:highlight w:val="none"/>
        </w:rPr>
        <w:t>。</w:t>
      </w: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560" w:firstLineChars="20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学籍异动（复学、降级、转专业）到2015级及以后</w:t>
      </w:r>
      <w:r>
        <w:rPr>
          <w:rFonts w:hint="eastAsia" w:ascii="仿宋_GB2312" w:hAnsi="仿宋_GB2312" w:eastAsia="仿宋_GB2312" w:cs="仿宋_GB2312"/>
          <w:sz w:val="28"/>
          <w:szCs w:val="28"/>
          <w:lang w:eastAsia="zh-CN"/>
        </w:rPr>
        <w:t>的</w:t>
      </w:r>
      <w:r>
        <w:rPr>
          <w:rFonts w:hint="eastAsia" w:ascii="仿宋_GB2312" w:hAnsi="仿宋_GB2312" w:eastAsia="仿宋_GB2312" w:cs="仿宋_GB2312"/>
          <w:sz w:val="28"/>
          <w:szCs w:val="28"/>
        </w:rPr>
        <w:t>本科生，毕业审核按照</w:t>
      </w:r>
      <w:r>
        <w:rPr>
          <w:rFonts w:hint="eastAsia" w:ascii="仿宋_GB2312" w:hAnsi="仿宋_GB2312" w:eastAsia="仿宋_GB2312" w:cs="仿宋_GB2312"/>
          <w:b/>
          <w:bCs/>
          <w:sz w:val="28"/>
          <w:szCs w:val="28"/>
        </w:rPr>
        <w:t>异动后</w:t>
      </w:r>
      <w:r>
        <w:rPr>
          <w:rFonts w:hint="eastAsia" w:ascii="仿宋_GB2312" w:hAnsi="仿宋_GB2312" w:eastAsia="仿宋_GB2312" w:cs="仿宋_GB2312"/>
          <w:sz w:val="28"/>
          <w:szCs w:val="28"/>
        </w:rPr>
        <w:t>所在专业培养方案审核，异动之前所修课程成绩及学分认定按照《齐鲁工业大学学籍异动学生成绩及学分认定办法（试行）》（齐鲁工大教字〔201</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〕8号）执行。</w:t>
      </w:r>
    </w:p>
    <w:p>
      <w:pPr>
        <w:keepNext w:val="0"/>
        <w:keepLines w:val="0"/>
        <w:pageBreakBefore w:val="0"/>
        <w:kinsoku/>
        <w:wordWrap/>
        <w:overflowPunct/>
        <w:topLinePunct w:val="0"/>
        <w:autoSpaceDN/>
        <w:bidi w:val="0"/>
        <w:adjustRightInd/>
        <w:snapToGrid/>
        <w:spacing w:line="580" w:lineRule="exact"/>
        <w:ind w:left="0" w:leftChars="0" w:right="0" w:rightChars="0"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针对学籍异动（复学、降级、转专业）以及各年级（包括201</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届预毕业）选课学分未达标的学生，开放一次教务管理系统</w:t>
      </w:r>
      <w:r>
        <w:rPr>
          <w:rFonts w:hint="eastAsia" w:ascii="仿宋_GB2312" w:hAnsi="仿宋_GB2312" w:eastAsia="仿宋_GB2312" w:cs="仿宋_GB2312"/>
          <w:b/>
          <w:bCs/>
          <w:sz w:val="28"/>
          <w:szCs w:val="28"/>
        </w:rPr>
        <w:t>跨年级、跨专业补选课程</w:t>
      </w:r>
      <w:r>
        <w:rPr>
          <w:rFonts w:hint="eastAsia" w:ascii="仿宋_GB2312" w:hAnsi="仿宋_GB2312" w:eastAsia="仿宋_GB2312" w:cs="仿宋_GB2312"/>
          <w:sz w:val="28"/>
          <w:szCs w:val="28"/>
        </w:rPr>
        <w:t>（不包括重修课程）。学生务必</w:t>
      </w:r>
      <w:r>
        <w:rPr>
          <w:rFonts w:hint="eastAsia" w:ascii="仿宋_GB2312" w:hAnsi="仿宋_GB2312" w:eastAsia="仿宋_GB2312" w:cs="仿宋_GB2312"/>
          <w:sz w:val="28"/>
          <w:szCs w:val="28"/>
          <w:lang w:eastAsia="zh-CN"/>
        </w:rPr>
        <w:t>严格</w:t>
      </w:r>
      <w:r>
        <w:rPr>
          <w:rFonts w:hint="eastAsia" w:ascii="仿宋_GB2312" w:hAnsi="仿宋_GB2312" w:eastAsia="仿宋_GB2312" w:cs="仿宋_GB2312"/>
          <w:sz w:val="28"/>
          <w:szCs w:val="28"/>
        </w:rPr>
        <w:t>根据专业培养方案进行补选课，确保修满所学专业要求的各类最低学分。</w:t>
      </w:r>
      <w:r>
        <w:rPr>
          <w:rFonts w:hint="eastAsia" w:ascii="仿宋_GB2312" w:hAnsi="仿宋_GB2312" w:eastAsia="仿宋_GB2312" w:cs="仿宋_GB2312"/>
          <w:b/>
          <w:bCs/>
          <w:sz w:val="28"/>
          <w:szCs w:val="28"/>
        </w:rPr>
        <w:t>此次选课只选不退，只开放一次</w:t>
      </w:r>
      <w:r>
        <w:rPr>
          <w:rFonts w:hint="eastAsia" w:ascii="仿宋_GB2312" w:hAnsi="仿宋_GB2312" w:eastAsia="仿宋_GB2312" w:cs="仿宋_GB2312"/>
          <w:sz w:val="28"/>
          <w:szCs w:val="28"/>
        </w:rPr>
        <w:t>。选课时段为</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b/>
          <w:color w:val="auto"/>
          <w:kern w:val="0"/>
          <w:sz w:val="28"/>
          <w:szCs w:val="28"/>
        </w:rPr>
        <w:t>2018年3月12日（星期一）16:00－2018年3月1</w:t>
      </w:r>
      <w:r>
        <w:rPr>
          <w:rFonts w:hint="eastAsia" w:ascii="仿宋_GB2312" w:hAnsi="仿宋_GB2312" w:eastAsia="仿宋_GB2312" w:cs="仿宋_GB2312"/>
          <w:b/>
          <w:color w:val="auto"/>
          <w:kern w:val="0"/>
          <w:sz w:val="28"/>
          <w:szCs w:val="28"/>
          <w:lang w:val="en-US" w:eastAsia="zh-CN"/>
        </w:rPr>
        <w:t>4</w:t>
      </w:r>
      <w:r>
        <w:rPr>
          <w:rFonts w:hint="eastAsia" w:ascii="仿宋_GB2312" w:hAnsi="仿宋_GB2312" w:eastAsia="仿宋_GB2312" w:cs="仿宋_GB2312"/>
          <w:b/>
          <w:color w:val="auto"/>
          <w:kern w:val="0"/>
          <w:sz w:val="28"/>
          <w:szCs w:val="28"/>
        </w:rPr>
        <w:t>日（星期三）9:00。</w:t>
      </w:r>
      <w:r>
        <w:rPr>
          <w:rFonts w:hint="eastAsia" w:ascii="仿宋_GB2312" w:hAnsi="仿宋_GB2312" w:eastAsia="仿宋_GB2312" w:cs="仿宋_GB2312"/>
          <w:color w:val="000000"/>
          <w:sz w:val="28"/>
          <w:szCs w:val="28"/>
        </w:rPr>
        <w:t>请各单位通知</w:t>
      </w:r>
      <w:r>
        <w:rPr>
          <w:rFonts w:hint="eastAsia" w:ascii="仿宋_GB2312" w:hAnsi="仿宋_GB2312" w:eastAsia="仿宋_GB2312" w:cs="仿宋_GB2312"/>
          <w:color w:val="000000"/>
          <w:sz w:val="28"/>
          <w:szCs w:val="28"/>
          <w:lang w:eastAsia="zh-CN"/>
        </w:rPr>
        <w:t>相关</w:t>
      </w:r>
      <w:r>
        <w:rPr>
          <w:rFonts w:hint="eastAsia" w:ascii="仿宋_GB2312" w:hAnsi="仿宋_GB2312" w:eastAsia="仿宋_GB2312" w:cs="仿宋_GB2312"/>
          <w:color w:val="000000"/>
          <w:sz w:val="28"/>
          <w:szCs w:val="28"/>
        </w:rPr>
        <w:t>学生</w:t>
      </w:r>
      <w:r>
        <w:rPr>
          <w:rFonts w:hint="eastAsia" w:ascii="仿宋_GB2312" w:hAnsi="仿宋_GB2312" w:eastAsia="仿宋_GB2312" w:cs="仿宋_GB2312"/>
          <w:color w:val="000000"/>
          <w:sz w:val="28"/>
          <w:szCs w:val="28"/>
          <w:lang w:eastAsia="zh-CN"/>
        </w:rPr>
        <w:t>在</w:t>
      </w:r>
      <w:r>
        <w:rPr>
          <w:rFonts w:hint="eastAsia" w:ascii="仿宋_GB2312" w:hAnsi="仿宋_GB2312" w:eastAsia="仿宋_GB2312" w:cs="仿宋_GB2312"/>
          <w:color w:val="000000"/>
          <w:sz w:val="28"/>
          <w:szCs w:val="28"/>
        </w:rPr>
        <w:t>规定的选课时间段</w:t>
      </w:r>
      <w:r>
        <w:rPr>
          <w:rFonts w:hint="eastAsia" w:ascii="仿宋_GB2312" w:hAnsi="仿宋_GB2312" w:eastAsia="仿宋_GB2312" w:cs="仿宋_GB2312"/>
          <w:color w:val="000000"/>
          <w:sz w:val="28"/>
          <w:szCs w:val="28"/>
          <w:lang w:eastAsia="zh-CN"/>
        </w:rPr>
        <w:t>进行补</w:t>
      </w:r>
      <w:r>
        <w:rPr>
          <w:rFonts w:hint="eastAsia" w:ascii="仿宋_GB2312" w:hAnsi="仿宋_GB2312" w:eastAsia="仿宋_GB2312" w:cs="仿宋_GB2312"/>
          <w:color w:val="000000"/>
          <w:sz w:val="28"/>
          <w:szCs w:val="28"/>
        </w:rPr>
        <w:t>选课。</w:t>
      </w:r>
    </w:p>
    <w:p>
      <w:pPr>
        <w:keepNext w:val="0"/>
        <w:keepLines w:val="0"/>
        <w:pageBreakBefore w:val="0"/>
        <w:kinsoku/>
        <w:wordWrap/>
        <w:overflowPunct/>
        <w:topLinePunct w:val="0"/>
        <w:autoSpaceDN/>
        <w:bidi w:val="0"/>
        <w:adjustRightInd/>
        <w:snapToGrid/>
        <w:spacing w:line="580" w:lineRule="exact"/>
        <w:ind w:left="0" w:leftChars="0" w:right="0" w:rightChars="0" w:firstLine="280" w:firstLineChars="100"/>
        <w:textAlignment w:val="auto"/>
        <w:rPr>
          <w:rFonts w:hint="eastAsia" w:ascii="仿宋_GB2312" w:hAnsi="仿宋_GB2312" w:eastAsia="仿宋_GB2312" w:cs="仿宋_GB2312"/>
          <w:color w:val="000000"/>
          <w:sz w:val="28"/>
          <w:szCs w:val="28"/>
        </w:rPr>
      </w:pPr>
      <w:bookmarkStart w:id="0" w:name="_GoBack"/>
      <w:bookmarkEnd w:id="0"/>
    </w:p>
    <w:p>
      <w:pPr>
        <w:keepNext w:val="0"/>
        <w:keepLines w:val="0"/>
        <w:pageBreakBefore w:val="0"/>
        <w:kinsoku/>
        <w:wordWrap/>
        <w:overflowPunct/>
        <w:topLinePunct w:val="0"/>
        <w:autoSpaceDN/>
        <w:bidi w:val="0"/>
        <w:adjustRightInd/>
        <w:snapToGrid/>
        <w:spacing w:line="580" w:lineRule="exact"/>
        <w:ind w:left="0" w:leftChars="0" w:right="0" w:rightChars="0" w:firstLine="280" w:firstLineChars="1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附件：学生网上选课操作流程</w:t>
      </w:r>
    </w:p>
    <w:p>
      <w:pPr>
        <w:spacing w:line="360" w:lineRule="auto"/>
        <w:ind w:left="0" w:leftChars="0" w:firstLine="240" w:firstLineChars="100"/>
        <w:rPr>
          <w:rFonts w:hint="eastAsia" w:ascii="宋体" w:hAnsi="宋体"/>
          <w:color w:val="000000"/>
          <w:sz w:val="24"/>
          <w:szCs w:val="24"/>
        </w:rPr>
      </w:pPr>
    </w:p>
    <w:p>
      <w:pPr>
        <w:spacing w:line="360" w:lineRule="auto"/>
        <w:ind w:left="0" w:leftChars="0" w:firstLine="240" w:firstLineChars="100"/>
        <w:rPr>
          <w:rFonts w:hint="eastAsia" w:ascii="宋体" w:hAnsi="宋体"/>
          <w:color w:val="000000"/>
          <w:sz w:val="24"/>
          <w:szCs w:val="24"/>
        </w:rPr>
      </w:pPr>
    </w:p>
    <w:p>
      <w:pPr>
        <w:keepNext w:val="0"/>
        <w:keepLines w:val="0"/>
        <w:pageBreakBefore w:val="0"/>
        <w:kinsoku/>
        <w:wordWrap/>
        <w:overflowPunct/>
        <w:topLinePunct w:val="0"/>
        <w:autoSpaceDN/>
        <w:bidi w:val="0"/>
        <w:adjustRightInd/>
        <w:snapToGrid/>
        <w:spacing w:line="580" w:lineRule="exact"/>
        <w:ind w:left="0" w:leftChars="0" w:right="0" w:rightChars="0" w:firstLine="480" w:firstLineChars="200"/>
        <w:textAlignment w:val="auto"/>
        <w:rPr>
          <w:rFonts w:hint="eastAsia" w:ascii="仿宋_GB2312" w:hAnsi="仿宋_GB2312" w:eastAsia="仿宋_GB2312" w:cs="仿宋_GB2312"/>
          <w:color w:val="000000"/>
          <w:sz w:val="28"/>
          <w:szCs w:val="28"/>
          <w:lang w:val="en-US" w:eastAsia="zh-CN"/>
        </w:rPr>
      </w:pPr>
      <w:r>
        <w:rPr>
          <w:rFonts w:hint="eastAsia"/>
          <w:color w:val="000000"/>
          <w:sz w:val="24"/>
          <w:szCs w:val="24"/>
          <w:lang w:val="en-US" w:eastAsia="zh-CN"/>
        </w:rPr>
        <w:t xml:space="preserve">                                                  </w:t>
      </w:r>
      <w:r>
        <w:rPr>
          <w:rFonts w:hint="eastAsia" w:ascii="仿宋_GB2312" w:hAnsi="仿宋_GB2312" w:eastAsia="仿宋_GB2312" w:cs="仿宋_GB2312"/>
          <w:color w:val="000000"/>
          <w:sz w:val="28"/>
          <w:szCs w:val="28"/>
          <w:lang w:val="en-US" w:eastAsia="zh-CN"/>
        </w:rPr>
        <w:t>教务处</w:t>
      </w:r>
    </w:p>
    <w:p>
      <w:pPr>
        <w:keepNext w:val="0"/>
        <w:keepLines w:val="0"/>
        <w:pageBreakBefore w:val="0"/>
        <w:kinsoku/>
        <w:wordWrap/>
        <w:overflowPunct/>
        <w:topLinePunct w:val="0"/>
        <w:autoSpaceDN/>
        <w:bidi w:val="0"/>
        <w:adjustRightInd/>
        <w:snapToGrid/>
        <w:spacing w:line="580" w:lineRule="exact"/>
        <w:ind w:left="0" w:leftChars="0" w:right="0" w:rightChars="0"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 xml:space="preserve">                                    二〇一八年三月五日</w:t>
      </w:r>
    </w:p>
    <w:sectPr>
      <w:headerReference r:id="rId4" w:type="first"/>
      <w:footerReference r:id="rId7" w:type="first"/>
      <w:footerReference r:id="rId5" w:type="default"/>
      <w:headerReference r:id="rId3" w:type="even"/>
      <w:footerReference r:id="rId6"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260"/>
    <w:rsid w:val="00105131"/>
    <w:rsid w:val="00127646"/>
    <w:rsid w:val="001527C8"/>
    <w:rsid w:val="003176A6"/>
    <w:rsid w:val="003B33C3"/>
    <w:rsid w:val="003D42A2"/>
    <w:rsid w:val="0042590A"/>
    <w:rsid w:val="0044051E"/>
    <w:rsid w:val="0049211F"/>
    <w:rsid w:val="00495992"/>
    <w:rsid w:val="004E66AA"/>
    <w:rsid w:val="005A3F6F"/>
    <w:rsid w:val="006448DC"/>
    <w:rsid w:val="006B5B60"/>
    <w:rsid w:val="007B0E9F"/>
    <w:rsid w:val="00927B79"/>
    <w:rsid w:val="009301BA"/>
    <w:rsid w:val="009B0D1D"/>
    <w:rsid w:val="00A410B7"/>
    <w:rsid w:val="00B7440C"/>
    <w:rsid w:val="00D64260"/>
    <w:rsid w:val="00D87E3A"/>
    <w:rsid w:val="00DD345A"/>
    <w:rsid w:val="00E433B6"/>
    <w:rsid w:val="00F47DAB"/>
    <w:rsid w:val="00FE460E"/>
    <w:rsid w:val="03653EAB"/>
    <w:rsid w:val="09C97EE4"/>
    <w:rsid w:val="0A324800"/>
    <w:rsid w:val="0F36697C"/>
    <w:rsid w:val="102F52A0"/>
    <w:rsid w:val="10EA045A"/>
    <w:rsid w:val="111C469D"/>
    <w:rsid w:val="11515058"/>
    <w:rsid w:val="119522F6"/>
    <w:rsid w:val="19352456"/>
    <w:rsid w:val="1E7E28BA"/>
    <w:rsid w:val="1F47534D"/>
    <w:rsid w:val="21795CFF"/>
    <w:rsid w:val="2908179E"/>
    <w:rsid w:val="2B6E0FC3"/>
    <w:rsid w:val="2BB60102"/>
    <w:rsid w:val="2DD30B2E"/>
    <w:rsid w:val="31073D2D"/>
    <w:rsid w:val="320A0CD3"/>
    <w:rsid w:val="32D71B2A"/>
    <w:rsid w:val="357E4A8E"/>
    <w:rsid w:val="367142EA"/>
    <w:rsid w:val="369052E0"/>
    <w:rsid w:val="36CF44BB"/>
    <w:rsid w:val="3986671A"/>
    <w:rsid w:val="3AA37ED2"/>
    <w:rsid w:val="3B994EE0"/>
    <w:rsid w:val="3BA822F9"/>
    <w:rsid w:val="3F340786"/>
    <w:rsid w:val="3F9541F2"/>
    <w:rsid w:val="3FB253B1"/>
    <w:rsid w:val="4B9D3D3D"/>
    <w:rsid w:val="4E4734C5"/>
    <w:rsid w:val="502111A5"/>
    <w:rsid w:val="515A6FFA"/>
    <w:rsid w:val="5406600C"/>
    <w:rsid w:val="540E08EC"/>
    <w:rsid w:val="54BC621F"/>
    <w:rsid w:val="55C15279"/>
    <w:rsid w:val="566E7EBD"/>
    <w:rsid w:val="57396F38"/>
    <w:rsid w:val="58455C71"/>
    <w:rsid w:val="5C1073BF"/>
    <w:rsid w:val="5DDC6E2D"/>
    <w:rsid w:val="5F9A4696"/>
    <w:rsid w:val="60214A7D"/>
    <w:rsid w:val="620F767C"/>
    <w:rsid w:val="62A77F74"/>
    <w:rsid w:val="63492118"/>
    <w:rsid w:val="67826CA4"/>
    <w:rsid w:val="68EB4A3A"/>
    <w:rsid w:val="6B704540"/>
    <w:rsid w:val="709A54F3"/>
    <w:rsid w:val="733E4E7C"/>
    <w:rsid w:val="74460720"/>
    <w:rsid w:val="74622349"/>
    <w:rsid w:val="775D5B6F"/>
    <w:rsid w:val="79562629"/>
    <w:rsid w:val="7D1F28CB"/>
    <w:rsid w:val="7F5C7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exact"/>
      <w:ind w:firstLine="420" w:firstLineChars="200"/>
    </w:pPr>
    <w:rPr>
      <w:rFonts w:ascii="宋体" w:hAnsi="宋体" w:eastAsia="宋体" w:cs="Times New Roman"/>
      <w:kern w:val="2"/>
      <w:sz w:val="21"/>
      <w:szCs w:val="21"/>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spacing w:line="240" w:lineRule="atLeas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basedOn w:val="1"/>
    <w:qFormat/>
    <w:uiPriority w:val="0"/>
    <w:pPr>
      <w:spacing w:before="100" w:beforeAutospacing="1" w:after="100" w:afterAutospacing="1" w:line="240" w:lineRule="auto"/>
      <w:ind w:firstLine="0" w:firstLineChars="0"/>
    </w:pPr>
    <w:rPr>
      <w:rFonts w:ascii="Calibri" w:hAnsi="Calibri"/>
      <w:kern w:val="0"/>
      <w:sz w:val="24"/>
      <w:szCs w:val="24"/>
    </w:rPr>
  </w:style>
  <w:style w:type="character" w:customStyle="1" w:styleId="8">
    <w:name w:val="页眉 Char"/>
    <w:basedOn w:val="6"/>
    <w:link w:val="3"/>
    <w:qFormat/>
    <w:uiPriority w:val="0"/>
    <w:rPr>
      <w:rFonts w:ascii="宋体" w:hAnsi="宋体" w:eastAsia="宋体" w:cs="Times New Roman"/>
      <w:kern w:val="2"/>
      <w:sz w:val="18"/>
      <w:szCs w:val="18"/>
    </w:rPr>
  </w:style>
  <w:style w:type="character" w:customStyle="1" w:styleId="9">
    <w:name w:val="页脚 Char"/>
    <w:basedOn w:val="6"/>
    <w:link w:val="2"/>
    <w:qFormat/>
    <w:uiPriority w:val="0"/>
    <w:rPr>
      <w:rFonts w:ascii="宋体" w:hAnsi="宋体" w:eastAsia="宋体" w:cs="Times New Roman"/>
      <w:kern w:val="2"/>
      <w:sz w:val="18"/>
      <w:szCs w:val="18"/>
    </w:rPr>
  </w:style>
  <w:style w:type="paragraph" w:customStyle="1" w:styleId="10">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134</Words>
  <Characters>769</Characters>
  <Lines>6</Lines>
  <Paragraphs>1</Paragraphs>
  <ScaleCrop>false</ScaleCrop>
  <LinksUpToDate>false</LinksUpToDate>
  <CharactersWithSpaces>902</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2018-03-04T07:32:00Z</cp:lastPrinted>
  <dcterms:modified xsi:type="dcterms:W3CDTF">2018-03-05T08:09:42Z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